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565" w:rsidRDefault="001B7565" w:rsidP="001B7565">
      <w:pPr>
        <w:pStyle w:val="Ttulo1"/>
        <w:ind w:firstLine="708"/>
        <w:jc w:val="both"/>
        <w:rPr>
          <w:rFonts w:ascii="Calibri" w:hAnsi="Calibri" w:cs="Calibri"/>
          <w:b w:val="0"/>
          <w:i w:val="0"/>
          <w:color w:val="7F7F7F" w:themeColor="text1" w:themeTint="80"/>
          <w:sz w:val="26"/>
          <w:szCs w:val="26"/>
        </w:rPr>
      </w:pPr>
      <w:r>
        <w:rPr>
          <w:rFonts w:ascii="Calibri" w:hAnsi="Calibri" w:cs="Calibri"/>
          <w:i w:val="0"/>
          <w:color w:val="7F7F7F" w:themeColor="text1" w:themeTint="80"/>
          <w:sz w:val="26"/>
          <w:szCs w:val="26"/>
        </w:rPr>
        <w:t>León, Guanajuato, a 22 veintidós de junio del año 2017 dos mil diecisiete</w:t>
      </w:r>
      <w:r>
        <w:rPr>
          <w:rFonts w:ascii="Calibri" w:hAnsi="Calibri" w:cs="Calibri"/>
          <w:b w:val="0"/>
          <w:i w:val="0"/>
          <w:color w:val="7F7F7F" w:themeColor="text1" w:themeTint="80"/>
          <w:sz w:val="26"/>
          <w:szCs w:val="26"/>
        </w:rPr>
        <w:t xml:space="preserve">. . . . </w:t>
      </w:r>
      <w:r>
        <w:rPr>
          <w:rFonts w:ascii="Calibri" w:hAnsi="Calibri"/>
          <w:color w:val="7F7F7F" w:themeColor="text1" w:themeTint="80"/>
          <w:sz w:val="26"/>
          <w:szCs w:val="26"/>
        </w:rPr>
        <w:t xml:space="preserve">. . . . . . . . . . . . . . . . . . . . . . . . . . . . . . . . . . . . . . . . . . . . . . . . . . . . . . . </w:t>
      </w:r>
    </w:p>
    <w:p w:rsidR="001B7565" w:rsidRDefault="001B7565" w:rsidP="001B7565">
      <w:pPr>
        <w:rPr>
          <w:rFonts w:ascii="Calibri" w:hAnsi="Calibri" w:cs="Calibri"/>
          <w:color w:val="7F7F7F" w:themeColor="text1" w:themeTint="80"/>
          <w:sz w:val="26"/>
          <w:szCs w:val="26"/>
          <w:lang w:val="es-MX"/>
        </w:rPr>
      </w:pPr>
    </w:p>
    <w:p w:rsidR="001B7565" w:rsidRDefault="001B7565" w:rsidP="001B756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972/2016-JN</w:t>
      </w:r>
      <w:r>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Pr>
          <w:rFonts w:ascii="Calibri" w:hAnsi="Calibri" w:cs="Calibri"/>
          <w:color w:val="7F7F7F" w:themeColor="text1" w:themeTint="80"/>
          <w:sz w:val="26"/>
          <w:szCs w:val="26"/>
        </w:rPr>
        <w:t xml:space="preserve"> y,. . . . . . . . . . . . . . . . . . . . . . . . . . . . . . . . . . . .   </w:t>
      </w:r>
    </w:p>
    <w:p w:rsidR="001B7565" w:rsidRDefault="001B7565" w:rsidP="001B7565">
      <w:pPr>
        <w:pStyle w:val="Textoindependiente"/>
        <w:rPr>
          <w:rFonts w:ascii="Calibri" w:hAnsi="Calibri" w:cs="Calibri"/>
          <w:color w:val="7F7F7F" w:themeColor="text1" w:themeTint="80"/>
          <w:sz w:val="26"/>
          <w:szCs w:val="26"/>
        </w:rPr>
      </w:pPr>
    </w:p>
    <w:p w:rsidR="001B7565" w:rsidRDefault="001B7565" w:rsidP="001B7565">
      <w:pPr>
        <w:pStyle w:val="Textoindependiente"/>
        <w:rPr>
          <w:rFonts w:ascii="Calibri" w:hAnsi="Calibri" w:cs="Calibri"/>
          <w:color w:val="7F7F7F" w:themeColor="text1" w:themeTint="80"/>
          <w:sz w:val="26"/>
          <w:szCs w:val="26"/>
        </w:rPr>
      </w:pPr>
    </w:p>
    <w:p w:rsidR="001B7565" w:rsidRDefault="001B7565" w:rsidP="001B7565">
      <w:pPr>
        <w:pStyle w:val="Textoindependiente"/>
        <w:ind w:firstLine="708"/>
        <w:jc w:val="center"/>
        <w:rPr>
          <w:rFonts w:ascii="Calibri" w:hAnsi="Calibri" w:cs="Calibri"/>
          <w:b/>
          <w:b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1B7565" w:rsidRDefault="001B7565" w:rsidP="001B7565">
      <w:pPr>
        <w:pStyle w:val="Textoindependiente"/>
        <w:rPr>
          <w:rFonts w:ascii="Calibri" w:hAnsi="Calibri" w:cs="Calibri"/>
          <w:b/>
          <w:bCs/>
          <w:color w:val="7F7F7F" w:themeColor="text1" w:themeTint="80"/>
          <w:sz w:val="26"/>
          <w:szCs w:val="26"/>
        </w:rPr>
      </w:pPr>
    </w:p>
    <w:p w:rsidR="001B7565" w:rsidRDefault="001B7565" w:rsidP="001B756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actor se ostenta sabedor </w:t>
      </w:r>
      <w:r>
        <w:rPr>
          <w:rFonts w:ascii="Calibri" w:hAnsi="Calibri" w:cs="Calibri"/>
          <w:color w:val="767171" w:themeColor="background2" w:themeShade="80"/>
          <w:sz w:val="26"/>
          <w:szCs w:val="26"/>
        </w:rPr>
        <w:t xml:space="preserve">de la resolución </w:t>
      </w:r>
      <w:r>
        <w:rPr>
          <w:rFonts w:ascii="Calibri" w:hAnsi="Calibri" w:cs="Calibri"/>
          <w:color w:val="7F7F7F" w:themeColor="text1" w:themeTint="80"/>
          <w:sz w:val="26"/>
          <w:szCs w:val="26"/>
        </w:rPr>
        <w:t xml:space="preserve">impugnada, lo que fue el día 9 nueve de noviembre del año próximo pasado. . . . . . . . . . . . . . . . . . . . . . . . . . . . . . . . . . . . . . . . . . . . . . . . . . . . . . . . . . . . . . . </w:t>
      </w:r>
    </w:p>
    <w:p w:rsidR="001B7565" w:rsidRDefault="001B7565" w:rsidP="001B7565">
      <w:pPr>
        <w:pStyle w:val="Textoindependiente"/>
        <w:ind w:firstLine="708"/>
        <w:rPr>
          <w:rFonts w:ascii="Calibri" w:hAnsi="Calibri" w:cs="Calibri"/>
          <w:b/>
          <w:bCs/>
          <w:color w:val="7F7F7F" w:themeColor="text1" w:themeTint="80"/>
          <w:sz w:val="26"/>
          <w:szCs w:val="26"/>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resolución combatida, se desprende del original del recibo oficial de pago con número de folio AA 6092202 </w:t>
      </w:r>
      <w:r>
        <w:rPr>
          <w:rFonts w:ascii="Calibri" w:hAnsi="Calibri" w:cs="Calibri"/>
          <w:color w:val="767171" w:themeColor="background2" w:themeShade="80"/>
          <w:sz w:val="26"/>
          <w:szCs w:val="26"/>
        </w:rPr>
        <w:t xml:space="preserve">(AA seis-cero-nueve-dos-dos-cero-dos), valioso </w:t>
      </w:r>
      <w:r>
        <w:rPr>
          <w:rFonts w:ascii="Calibri" w:hAnsi="Calibri" w:cs="Calibri"/>
          <w:color w:val="7F7F7F" w:themeColor="text1" w:themeTint="80"/>
          <w:sz w:val="26"/>
          <w:szCs w:val="26"/>
        </w:rPr>
        <w:t>por la cantidad de $892.78 Ochocientos noventa y dos pesos 78/100 Moneda Nacional), importe que, según se aprecia, corresponde a una multa por una infracción al Reglamento de Tránsito Municipal.</w:t>
      </w:r>
      <w:r>
        <w:rPr>
          <w:rFonts w:ascii="Calibri" w:hAnsi="Calibri"/>
          <w:color w:val="7F7F7F" w:themeColor="text1" w:themeTint="80"/>
          <w:sz w:val="26"/>
          <w:szCs w:val="26"/>
        </w:rPr>
        <w:t xml:space="preserve"> . . . . . . . . . . . . . . . . . . . . . . . . . . . . . . . . . . . . . . . . . . . . . . . . . . . . . . . . . . . .</w:t>
      </w:r>
    </w:p>
    <w:p w:rsidR="001B7565" w:rsidRDefault="001B7565" w:rsidP="001B7565">
      <w:pPr>
        <w:ind w:firstLine="708"/>
        <w:jc w:val="both"/>
        <w:rPr>
          <w:rFonts w:ascii="Calibri" w:hAnsi="Calibri" w:cs="Calibri"/>
          <w:color w:val="7F7F7F" w:themeColor="text1" w:themeTint="80"/>
          <w:sz w:val="26"/>
          <w:szCs w:val="26"/>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Recibo </w:t>
      </w:r>
      <w:r>
        <w:rPr>
          <w:rFonts w:ascii="Calibri" w:hAnsi="Calibri"/>
          <w:color w:val="7F7F7F" w:themeColor="text1" w:themeTint="80"/>
          <w:sz w:val="26"/>
          <w:szCs w:val="26"/>
        </w:rPr>
        <w:t>que obra en el secreto de este juzgado (visible en el expediente, en copia certificada, a foja 6 seis)</w:t>
      </w:r>
      <w:r>
        <w:rPr>
          <w:rFonts w:ascii="Calibri" w:hAnsi="Calibri" w:cs="Calibri"/>
          <w:color w:val="7F7F7F" w:themeColor="text1" w:themeTint="80"/>
          <w:sz w:val="26"/>
          <w:szCs w:val="26"/>
        </w:rPr>
        <w:t xml:space="preserve">; la que merece pleno valor probatorio, conforme </w:t>
      </w:r>
    </w:p>
    <w:p w:rsidR="001B7565" w:rsidRDefault="001B7565" w:rsidP="001B75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972/2016-JN</w:t>
      </w:r>
    </w:p>
    <w:p w:rsidR="001B7565" w:rsidRDefault="001B7565" w:rsidP="001B7565">
      <w:pPr>
        <w:ind w:firstLine="708"/>
        <w:jc w:val="both"/>
        <w:rPr>
          <w:rFonts w:ascii="Calibri" w:hAnsi="Calibri" w:cs="Calibri"/>
          <w:color w:val="7F7F7F" w:themeColor="text1" w:themeTint="80"/>
          <w:sz w:val="26"/>
          <w:szCs w:val="26"/>
        </w:rPr>
      </w:pPr>
    </w:p>
    <w:p w:rsidR="001B7565" w:rsidRDefault="001B7565" w:rsidP="001B7565">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lo</w:t>
      </w:r>
      <w:proofErr w:type="gramEnd"/>
      <w:r>
        <w:rPr>
          <w:rFonts w:ascii="Calibri" w:hAnsi="Calibri" w:cs="Calibri"/>
          <w:color w:val="7F7F7F" w:themeColor="text1" w:themeTint="80"/>
          <w:sz w:val="26"/>
          <w:szCs w:val="26"/>
        </w:rPr>
        <w:t xml:space="preserve"> dispuesto en los artículos 78, 117, 118, 121 y 131 del Código de Procedimiento y Justicia Administrativa para el Estado y los Municipios de Guanajuato; toda vez que se trata de un documento público, expedido por un servidor público, en el ejercicio de sus funciones, y del que se desprende que se calificó una infracción administrativa imponiendo como sanción, una multa. . . . . . . . . . . . . . . . . . . . . . . . </w:t>
      </w:r>
    </w:p>
    <w:p w:rsidR="001B7565" w:rsidRDefault="001B7565" w:rsidP="001B7565">
      <w:pPr>
        <w:jc w:val="right"/>
        <w:rPr>
          <w:rFonts w:ascii="Calibri" w:hAnsi="Calibri"/>
          <w:b/>
          <w:color w:val="7F7F7F" w:themeColor="text1" w:themeTint="80"/>
          <w:sz w:val="26"/>
          <w:szCs w:val="27"/>
        </w:rPr>
      </w:pPr>
    </w:p>
    <w:p w:rsidR="001B7565" w:rsidRDefault="001B7565" w:rsidP="001B7565">
      <w:pPr>
        <w:ind w:firstLine="708"/>
        <w:jc w:val="both"/>
        <w:rPr>
          <w:rFonts w:ascii="Calibri" w:hAnsi="Calibri"/>
          <w:color w:val="767171" w:themeColor="background2" w:themeShade="80"/>
          <w:sz w:val="26"/>
          <w:szCs w:val="26"/>
        </w:rPr>
      </w:pPr>
      <w:r>
        <w:rPr>
          <w:rFonts w:ascii="Calibri" w:hAnsi="Calibri"/>
          <w:color w:val="7F7F7F" w:themeColor="text1" w:themeTint="80"/>
          <w:sz w:val="26"/>
          <w:szCs w:val="27"/>
        </w:rPr>
        <w:t xml:space="preserve">En razón de lo anterior, se tiene por </w:t>
      </w:r>
      <w:r>
        <w:rPr>
          <w:rFonts w:ascii="Calibri" w:hAnsi="Calibri"/>
          <w:b/>
          <w:color w:val="7F7F7F" w:themeColor="text1" w:themeTint="80"/>
          <w:sz w:val="26"/>
          <w:szCs w:val="27"/>
        </w:rPr>
        <w:t>debidamente acreditada</w:t>
      </w:r>
      <w:r>
        <w:rPr>
          <w:rFonts w:ascii="Calibri" w:hAnsi="Calibri"/>
          <w:color w:val="7F7F7F" w:themeColor="text1" w:themeTint="80"/>
          <w:sz w:val="26"/>
          <w:szCs w:val="27"/>
        </w:rPr>
        <w:t xml:space="preserve"> la existencia</w:t>
      </w:r>
      <w:r>
        <w:rPr>
          <w:rFonts w:ascii="Calibri" w:hAnsi="Calibri"/>
          <w:color w:val="767171" w:themeColor="background2" w:themeShade="80"/>
          <w:sz w:val="26"/>
          <w:szCs w:val="27"/>
        </w:rPr>
        <w:t xml:space="preserve"> de la resolución impugnada</w:t>
      </w:r>
      <w:r>
        <w:rPr>
          <w:rFonts w:ascii="Calibri" w:hAnsi="Calibri"/>
          <w:color w:val="767171" w:themeColor="background2" w:themeShade="80"/>
          <w:sz w:val="26"/>
          <w:szCs w:val="26"/>
        </w:rPr>
        <w:t xml:space="preserve">. . . . . . . . . . . . . . . . . . . . . . . . . . . . . . . . . . . . . . . . . . . . . . </w:t>
      </w:r>
    </w:p>
    <w:p w:rsidR="001B7565" w:rsidRDefault="001B7565" w:rsidP="001B7565">
      <w:pPr>
        <w:jc w:val="both"/>
        <w:rPr>
          <w:rFonts w:ascii="Calibri" w:hAnsi="Calibri" w:cs="Calibri"/>
          <w:b/>
          <w:bCs/>
          <w:i/>
          <w:iCs/>
          <w:color w:val="7F7F7F" w:themeColor="text1" w:themeTint="80"/>
          <w:sz w:val="26"/>
          <w:szCs w:val="26"/>
        </w:rPr>
      </w:pPr>
    </w:p>
    <w:p w:rsidR="001B7565" w:rsidRDefault="001B7565" w:rsidP="001B7565">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Pr>
          <w:rFonts w:ascii="Calibri" w:hAnsi="Calibri" w:cs="Calibri"/>
          <w:bCs/>
          <w:iCs/>
          <w:color w:val="7F7F7F" w:themeColor="text1" w:themeTint="80"/>
          <w:sz w:val="26"/>
          <w:szCs w:val="26"/>
        </w:rPr>
        <w:lastRenderedPageBreak/>
        <w:t>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1B7565" w:rsidRDefault="001B7565" w:rsidP="001B7565">
      <w:pPr>
        <w:ind w:firstLine="708"/>
        <w:jc w:val="both"/>
        <w:rPr>
          <w:rFonts w:ascii="Calibri" w:hAnsi="Calibri" w:cs="Calibri"/>
          <w:bCs/>
          <w:iCs/>
          <w:color w:val="7F7F7F" w:themeColor="text1" w:themeTint="80"/>
          <w:sz w:val="26"/>
          <w:szCs w:val="26"/>
        </w:rPr>
      </w:pPr>
    </w:p>
    <w:p w:rsidR="001B7565" w:rsidRDefault="001B7565" w:rsidP="001B7565">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las autoridades demandadas señalaron con </w:t>
      </w:r>
      <w:r>
        <w:rPr>
          <w:rFonts w:ascii="Calibri" w:hAnsi="Calibri" w:cs="Calibri"/>
          <w:bCs/>
          <w:color w:val="7F7F7F" w:themeColor="text1" w:themeTint="80"/>
          <w:sz w:val="26"/>
          <w:szCs w:val="26"/>
        </w:rPr>
        <w:t xml:space="preserve">causales de improcedencia previstas en las fracciones I y VI del Código de Procedimiento y Justicia Administrativa para el Estado y los Municipios de Guanajuato, al referir que no se afectan los intereses jurídicos del actor, ya que tales autoridades no emitieron el acto que se impugna y que no existe en realidad dicho acto. </w:t>
      </w:r>
      <w:r>
        <w:rPr>
          <w:rFonts w:ascii="Calibri" w:hAnsi="Calibri"/>
          <w:color w:val="7F7F7F" w:themeColor="text1" w:themeTint="80"/>
          <w:sz w:val="26"/>
          <w:szCs w:val="26"/>
        </w:rPr>
        <w:t xml:space="preserve">. . . . . . . . . . . . . . . . . . . . . . . . . . . . . . . . . . . . </w:t>
      </w:r>
    </w:p>
    <w:p w:rsidR="001B7565" w:rsidRDefault="001B7565" w:rsidP="001B7565">
      <w:pPr>
        <w:ind w:firstLine="708"/>
        <w:jc w:val="both"/>
        <w:rPr>
          <w:rFonts w:ascii="Calibri" w:hAnsi="Calibri" w:cs="Calibri"/>
          <w:bCs/>
          <w:iCs/>
          <w:color w:val="767171" w:themeColor="background2" w:themeShade="80"/>
          <w:sz w:val="26"/>
          <w:szCs w:val="26"/>
        </w:rPr>
      </w:pPr>
    </w:p>
    <w:p w:rsidR="001B7565" w:rsidRDefault="001B7565" w:rsidP="001B7565">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Causales de improcedencia que </w:t>
      </w:r>
      <w:r>
        <w:rPr>
          <w:rFonts w:ascii="Calibri" w:hAnsi="Calibri" w:cs="Calibri"/>
          <w:b/>
          <w:bCs/>
          <w:iCs/>
          <w:color w:val="767171" w:themeColor="background2" w:themeShade="80"/>
          <w:sz w:val="26"/>
          <w:szCs w:val="26"/>
        </w:rPr>
        <w:t>no se configuran</w:t>
      </w:r>
      <w:r>
        <w:rPr>
          <w:rFonts w:ascii="Calibri" w:hAnsi="Calibri" w:cs="Calibri"/>
          <w:bCs/>
          <w:iCs/>
          <w:color w:val="767171" w:themeColor="background2" w:themeShade="80"/>
          <w:sz w:val="26"/>
          <w:szCs w:val="26"/>
        </w:rPr>
        <w:t xml:space="preserve">; toda vez que el acto impugnado atribuido a dichas dependencias municipales </w:t>
      </w:r>
      <w:r>
        <w:rPr>
          <w:rFonts w:ascii="Calibri" w:hAnsi="Calibri" w:cs="Calibri"/>
          <w:b/>
          <w:bCs/>
          <w:iCs/>
          <w:color w:val="767171" w:themeColor="background2" w:themeShade="80"/>
          <w:sz w:val="26"/>
          <w:szCs w:val="26"/>
        </w:rPr>
        <w:t xml:space="preserve">sí existe </w:t>
      </w:r>
      <w:r>
        <w:rPr>
          <w:rFonts w:ascii="Calibri" w:hAnsi="Calibri" w:cs="Calibri"/>
          <w:bCs/>
          <w:iCs/>
          <w:color w:val="767171" w:themeColor="background2" w:themeShade="80"/>
          <w:sz w:val="26"/>
          <w:szCs w:val="26"/>
        </w:rPr>
        <w:t>y</w:t>
      </w:r>
      <w:r>
        <w:rPr>
          <w:rFonts w:ascii="Calibri" w:hAnsi="Calibri" w:cs="Calibri"/>
          <w:b/>
          <w:bCs/>
          <w:iCs/>
          <w:color w:val="767171" w:themeColor="background2" w:themeShade="80"/>
          <w:sz w:val="26"/>
          <w:szCs w:val="26"/>
        </w:rPr>
        <w:t xml:space="preserve"> afecta al justiciable en sus derechos </w:t>
      </w:r>
      <w:r>
        <w:rPr>
          <w:rFonts w:ascii="Calibri" w:hAnsi="Calibri" w:cs="Calibri"/>
          <w:bCs/>
          <w:iCs/>
          <w:color w:val="767171" w:themeColor="background2" w:themeShade="80"/>
          <w:sz w:val="26"/>
          <w:szCs w:val="26"/>
        </w:rPr>
        <w:t xml:space="preserve">y </w:t>
      </w:r>
      <w:r>
        <w:rPr>
          <w:rFonts w:ascii="Calibri" w:hAnsi="Calibri" w:cs="Calibri"/>
          <w:b/>
          <w:bCs/>
          <w:iCs/>
          <w:color w:val="767171" w:themeColor="background2" w:themeShade="80"/>
          <w:sz w:val="26"/>
          <w:szCs w:val="26"/>
        </w:rPr>
        <w:t xml:space="preserve">patrimonio, </w:t>
      </w:r>
      <w:r>
        <w:rPr>
          <w:rFonts w:ascii="Calibri" w:hAnsi="Calibri" w:cs="Calibri"/>
          <w:bCs/>
          <w:iCs/>
          <w:color w:val="767171" w:themeColor="background2" w:themeShade="80"/>
          <w:sz w:val="26"/>
          <w:szCs w:val="26"/>
        </w:rPr>
        <w:t xml:space="preserve">pues dicho acto lo es la resolución mediante la cual se calificó una infracción de tránsito, imponiendo como sanción una multa; calificación </w:t>
      </w:r>
      <w:r>
        <w:rPr>
          <w:rFonts w:ascii="Calibri" w:hAnsi="Calibri"/>
          <w:color w:val="767171" w:themeColor="background2" w:themeShade="80"/>
          <w:sz w:val="26"/>
          <w:szCs w:val="26"/>
        </w:rPr>
        <w:t xml:space="preserve">cuya existencia se encuentra plenamente acreditada con el recibo oficial con número </w:t>
      </w:r>
      <w:r>
        <w:rPr>
          <w:rFonts w:ascii="Calibri" w:hAnsi="Calibri" w:cs="Calibri"/>
          <w:color w:val="767171" w:themeColor="background2" w:themeShade="80"/>
          <w:sz w:val="26"/>
          <w:szCs w:val="26"/>
        </w:rPr>
        <w:t xml:space="preserve">de folio AA 6092202, por la cantidad de $892.78 Ochocientos noventa y dos pesos 78/100 Moneda Nacional), </w:t>
      </w:r>
      <w:r>
        <w:rPr>
          <w:rFonts w:ascii="Calibri" w:hAnsi="Calibri"/>
          <w:color w:val="767171" w:themeColor="background2" w:themeShade="80"/>
          <w:sz w:val="26"/>
          <w:szCs w:val="26"/>
        </w:rPr>
        <w:t xml:space="preserve">y que relacionado con lo que establece el artículo </w:t>
      </w:r>
      <w:r>
        <w:rPr>
          <w:rFonts w:ascii="Calibri" w:hAnsi="Calibri" w:cs="Calibri"/>
          <w:bCs/>
          <w:iCs/>
          <w:color w:val="767171" w:themeColor="background2" w:themeShade="80"/>
          <w:sz w:val="26"/>
          <w:szCs w:val="26"/>
        </w:rPr>
        <w:t>49 del Reglamento de Tránsito Municipal de León, Guanajuato; que a la letra señala:</w:t>
      </w:r>
      <w:r>
        <w:rPr>
          <w:rFonts w:ascii="Calibri" w:hAnsi="Calibri" w:cs="Calibri"/>
          <w:bCs/>
          <w:i/>
          <w:iCs/>
          <w:color w:val="767171" w:themeColor="background2" w:themeShade="80"/>
          <w:sz w:val="26"/>
          <w:szCs w:val="26"/>
        </w:rPr>
        <w:t xml:space="preserve"> “Artículo 49.- La Dirección General de Tránsito Municipal y la </w:t>
      </w:r>
      <w:r>
        <w:rPr>
          <w:rFonts w:ascii="Calibri" w:hAnsi="Calibri" w:cs="Calibri"/>
          <w:bCs/>
          <w:i/>
          <w:iCs/>
          <w:color w:val="767171" w:themeColor="background2" w:themeShade="80"/>
          <w:sz w:val="26"/>
          <w:szCs w:val="26"/>
          <w:u w:val="single"/>
        </w:rPr>
        <w:t>Tesorería Municipal</w:t>
      </w:r>
      <w:r>
        <w:rPr>
          <w:rFonts w:ascii="Calibri" w:hAnsi="Calibri" w:cs="Calibri"/>
          <w:bCs/>
          <w:i/>
          <w:iCs/>
          <w:color w:val="767171" w:themeColor="background2" w:themeShade="80"/>
          <w:sz w:val="26"/>
          <w:szCs w:val="26"/>
        </w:rPr>
        <w:t xml:space="preserve">, indistintamente, </w:t>
      </w:r>
      <w:r>
        <w:rPr>
          <w:rFonts w:ascii="Calibri" w:hAnsi="Calibri" w:cs="Calibri"/>
          <w:bCs/>
          <w:i/>
          <w:iCs/>
          <w:color w:val="767171" w:themeColor="background2" w:themeShade="80"/>
          <w:sz w:val="26"/>
          <w:szCs w:val="26"/>
          <w:u w:val="single"/>
        </w:rPr>
        <w:t>calificarán las infracciones contenidas en el presente reglamento</w:t>
      </w:r>
      <w:r>
        <w:rPr>
          <w:rFonts w:ascii="Calibri" w:hAnsi="Calibri" w:cs="Calibri"/>
          <w:bCs/>
          <w:i/>
          <w:iCs/>
          <w:color w:val="767171" w:themeColor="background2" w:themeShade="80"/>
          <w:sz w:val="26"/>
          <w:szCs w:val="26"/>
        </w:rPr>
        <w:t>; salvo en el supuesto a que se refieren los artículos 35 y 36  de este ordenamiento, que lo hará la Dirección de Oficiales Calificadores.”</w:t>
      </w:r>
      <w:r>
        <w:rPr>
          <w:rFonts w:ascii="Calibri" w:hAnsi="Calibri" w:cs="Calibri"/>
          <w:bCs/>
          <w:iCs/>
          <w:color w:val="767171" w:themeColor="background2" w:themeShade="80"/>
          <w:sz w:val="26"/>
          <w:szCs w:val="26"/>
        </w:rPr>
        <w:t xml:space="preserve"> (Lo subrayado es nuestro); no deja lugar a dudas que tanto la Dirección General de Tránsito como la Tesorería municipal, pueden calificar las infracciones al Reglamento de Tránsito citado; lo que con fundamento en los artículos 109, 112 y 130 del Código de Procedimiento y Justicia Administrativa en vigor en el Estado, </w:t>
      </w:r>
      <w:r>
        <w:rPr>
          <w:rFonts w:ascii="Calibri" w:hAnsi="Calibri" w:cs="Calibri"/>
          <w:b/>
          <w:bCs/>
          <w:iCs/>
          <w:color w:val="767171" w:themeColor="background2" w:themeShade="80"/>
          <w:sz w:val="26"/>
          <w:szCs w:val="26"/>
          <w:u w:val="single"/>
        </w:rPr>
        <w:t>crea la presunción legal y humana de que la calificación impugnada fue efectuada por alguna de esas dependencias municipales</w:t>
      </w:r>
      <w:r>
        <w:rPr>
          <w:rFonts w:ascii="Calibri" w:hAnsi="Calibri" w:cs="Calibri"/>
          <w:bCs/>
          <w:iCs/>
          <w:color w:val="767171" w:themeColor="background2" w:themeShade="80"/>
          <w:sz w:val="26"/>
          <w:szCs w:val="26"/>
        </w:rPr>
        <w:t>. Presunciones a las que se les otorga pleno valor probatorio pues de ninguna forma son destruidas, de ahí que se considere que no se actualiza la causal de improcedencia invocada. . . . . . . . . . . . . . . . . . . . . . . . .</w:t>
      </w:r>
    </w:p>
    <w:p w:rsidR="001B7565" w:rsidRDefault="001B7565" w:rsidP="001B7565">
      <w:pPr>
        <w:ind w:firstLine="708"/>
        <w:jc w:val="both"/>
        <w:rPr>
          <w:rFonts w:ascii="Calibri" w:hAnsi="Calibri" w:cs="Calibri"/>
          <w:b/>
          <w:bCs/>
          <w:iCs/>
          <w:color w:val="767171" w:themeColor="background2" w:themeShade="80"/>
          <w:sz w:val="26"/>
          <w:szCs w:val="26"/>
        </w:rPr>
      </w:pPr>
    </w:p>
    <w:p w:rsidR="001B7565" w:rsidRDefault="001B7565" w:rsidP="001B7565">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Asimismo, para quien resuelve, es un hecho notorio y público, que la autoridad que en cada caso individualiza la sanción relativa a las infracciones al Reglamento de Tránsito Municipal en vigor en este Municipio de León, Guanajuato, es la Tesorería Municipal al expedir el recibo, como el que aportó la parte actora a su demanda, </w:t>
      </w:r>
      <w:r>
        <w:rPr>
          <w:rFonts w:ascii="Calibri" w:hAnsi="Calibri"/>
          <w:color w:val="767171" w:themeColor="background2" w:themeShade="80"/>
          <w:sz w:val="26"/>
          <w:szCs w:val="26"/>
        </w:rPr>
        <w:t xml:space="preserve"> </w:t>
      </w:r>
      <w:r>
        <w:rPr>
          <w:rFonts w:ascii="Calibri" w:hAnsi="Calibri" w:cs="Calibri"/>
          <w:bCs/>
          <w:iCs/>
          <w:color w:val="767171" w:themeColor="background2" w:themeShade="80"/>
          <w:sz w:val="26"/>
          <w:szCs w:val="26"/>
        </w:rPr>
        <w:t>ello en virtud de que los ciudadanos concurren a las cajas, oficinas o módulos de dicha Dependencia para informarse sobre las infracciones de tránsito y, en su caso, efectuar el pago de la cantidad que se les indique. . . . . . . . . . . . . . . . . . . . . . . . . . . . . . . . . . . . . . . . . . . . . . . . . . . . . . . . . . . . . . .</w:t>
      </w:r>
    </w:p>
    <w:p w:rsidR="001B7565" w:rsidRDefault="001B7565" w:rsidP="001B7565">
      <w:pPr>
        <w:jc w:val="both"/>
        <w:rPr>
          <w:rFonts w:ascii="Calibri" w:hAnsi="Calibri" w:cs="Calibri"/>
          <w:bCs/>
          <w:iCs/>
          <w:color w:val="767171" w:themeColor="background2" w:themeShade="80"/>
          <w:sz w:val="26"/>
          <w:szCs w:val="26"/>
        </w:rPr>
      </w:pPr>
    </w:p>
    <w:p w:rsidR="001B7565" w:rsidRDefault="001B7565" w:rsidP="001B7565">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Ahora bien, tampoco se actualiza la causal señalada con la fracción VI del artículo 261 del código de la materia, pues es evidente, como ya se dejó asentado, que la resolución impugnada sí existe. . . . . . . . . . . . . . . . . . . . . . . . . . . . . </w:t>
      </w:r>
    </w:p>
    <w:p w:rsidR="001B7565" w:rsidRDefault="001B7565" w:rsidP="001B7565">
      <w:pPr>
        <w:jc w:val="both"/>
        <w:rPr>
          <w:rFonts w:ascii="Calibri" w:hAnsi="Calibri" w:cs="Calibri"/>
          <w:bCs/>
          <w:iCs/>
          <w:color w:val="767171" w:themeColor="background2" w:themeShade="80"/>
          <w:sz w:val="26"/>
          <w:szCs w:val="26"/>
        </w:rPr>
      </w:pPr>
    </w:p>
    <w:p w:rsidR="001B7565" w:rsidRDefault="001B7565" w:rsidP="001B7565">
      <w:pPr>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Así las cosas, no habiendo planteado el Tesorero ni el titular de la Dirección de Tránsito, alguna otra causal de improcedencia o sobreseimiento; y advirtiéndose, de oficio, por este Juzgador, que no se actualiza ninguna causa que impida el estudio de fondo de la presente causa administrativa, en cuanto al acto impugnado consistente en la resolución por la que se calificó la falta; por lo que en consecuencia es procedente el presente proceso respecto de ese acto impugnado. . . . . . . . . . . . . . . . . . . . . . . . . . . . . . . . . . . . . . . . . . . . . . . . . . . . . . . . . . . .</w:t>
      </w:r>
    </w:p>
    <w:p w:rsidR="001B7565" w:rsidRDefault="001B7565" w:rsidP="001B7565">
      <w:pPr>
        <w:jc w:val="both"/>
        <w:rPr>
          <w:rFonts w:ascii="Calibri" w:hAnsi="Calibri" w:cs="Calibri"/>
          <w:color w:val="7F7F7F" w:themeColor="text1" w:themeTint="80"/>
          <w:sz w:val="26"/>
          <w:szCs w:val="26"/>
          <w:lang w:val="es-MX"/>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B7565" w:rsidRDefault="001B7565" w:rsidP="001B7565">
      <w:pPr>
        <w:ind w:firstLine="708"/>
        <w:jc w:val="both"/>
        <w:rPr>
          <w:rFonts w:ascii="Calibri" w:hAnsi="Calibri" w:cs="Calibri"/>
          <w:color w:val="7F7F7F" w:themeColor="text1" w:themeTint="80"/>
          <w:sz w:val="26"/>
          <w:szCs w:val="26"/>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De lo expuesto por el actor en su escrito de demanda, de la contestación,</w:t>
      </w:r>
      <w:r>
        <w:rPr>
          <w:rFonts w:ascii="Calibri" w:hAnsi="Calibri" w:cs="Calibri"/>
          <w:color w:val="FF0000"/>
          <w:sz w:val="26"/>
          <w:szCs w:val="26"/>
        </w:rPr>
        <w:t xml:space="preserve"> </w:t>
      </w:r>
      <w:r>
        <w:rPr>
          <w:rFonts w:ascii="Calibri" w:hAnsi="Calibri" w:cs="Calibri"/>
          <w:color w:val="7F7F7F" w:themeColor="text1" w:themeTint="80"/>
          <w:sz w:val="26"/>
          <w:szCs w:val="26"/>
        </w:rPr>
        <w:t>así como de las constancias que integran la presente causa administrativa, se establece que el ciudadano ***** tuvo conocimiento de que se le impuso una sanción pecuniaria consistente en una multa por la cantidad de $637.70 (Seiscientos treinta y siete pesos 70/100 Moneda Nacional) a la que sumados los gastos de ejecución, pagó en total, la cantidad de $892.78 (Ochocientos noventa y dos pesos 78/100 Moneda Nacional). . . . . . . . . . . . . . . . . .</w:t>
      </w:r>
    </w:p>
    <w:p w:rsidR="001B7565" w:rsidRDefault="001B7565" w:rsidP="001B7565">
      <w:pPr>
        <w:ind w:firstLine="708"/>
        <w:jc w:val="both"/>
        <w:rPr>
          <w:rFonts w:ascii="Calibri" w:hAnsi="Calibri" w:cs="Calibri"/>
          <w:color w:val="7F7F7F" w:themeColor="text1" w:themeTint="80"/>
          <w:sz w:val="26"/>
          <w:szCs w:val="26"/>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Que la multa antes citada tiene su origen en una infracción al Reglamento de Tránsito Municipal</w:t>
      </w:r>
      <w:r>
        <w:rPr>
          <w:rFonts w:ascii="Calibri" w:hAnsi="Calibri" w:cs="Calibri"/>
          <w:iCs/>
          <w:color w:val="767171" w:themeColor="background2" w:themeShade="80"/>
          <w:sz w:val="26"/>
          <w:szCs w:val="26"/>
        </w:rPr>
        <w:t xml:space="preserve">. . . . . . . . . . . . . . . . . . . . . . . . . . . . . . . . . . . . . . . . . . . . . . . . . . . </w:t>
      </w:r>
    </w:p>
    <w:p w:rsidR="001B7565" w:rsidRDefault="001B7565" w:rsidP="001B7565">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 </w:t>
      </w:r>
    </w:p>
    <w:p w:rsidR="001B7565" w:rsidRDefault="001B7565" w:rsidP="001B756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Multa que el impetrante del proceso considera ilegal, pues, expresó que </w:t>
      </w:r>
      <w:r>
        <w:rPr>
          <w:rFonts w:ascii="Calibri" w:hAnsi="Calibri" w:cs="Calibri"/>
          <w:iCs/>
          <w:color w:val="767171" w:themeColor="background2" w:themeShade="80"/>
          <w:sz w:val="26"/>
          <w:szCs w:val="26"/>
        </w:rPr>
        <w:t>se desconocen los motivos y fundamentos de la misma, pues la resolución, por la que se impuso la misma, carece de la debida fundamentación y motivación. . . . . .</w:t>
      </w:r>
    </w:p>
    <w:p w:rsidR="001B7565" w:rsidRDefault="001B7565" w:rsidP="001B7565">
      <w:pPr>
        <w:pStyle w:val="Textoindependiente"/>
        <w:tabs>
          <w:tab w:val="left" w:pos="3594"/>
        </w:tabs>
        <w:rPr>
          <w:rFonts w:ascii="Calibri" w:hAnsi="Calibri" w:cs="Calibri"/>
          <w:iCs/>
          <w:color w:val="7F7F7F" w:themeColor="text1" w:themeTint="80"/>
          <w:sz w:val="26"/>
          <w:szCs w:val="26"/>
          <w:lang w:val="es-ES"/>
        </w:rPr>
      </w:pPr>
    </w:p>
    <w:p w:rsidR="001B7565" w:rsidRDefault="001B7565" w:rsidP="001B7565">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F7F7F" w:themeColor="text1" w:themeTint="80"/>
          <w:sz w:val="26"/>
          <w:szCs w:val="26"/>
        </w:rPr>
        <w:t xml:space="preserve">           Por su parte las demandadas, </w:t>
      </w:r>
      <w:r>
        <w:rPr>
          <w:rFonts w:ascii="Calibri" w:hAnsi="Calibri" w:cs="Calibri"/>
          <w:iCs/>
          <w:color w:val="767171" w:themeColor="background2" w:themeShade="80"/>
          <w:sz w:val="26"/>
          <w:szCs w:val="26"/>
        </w:rPr>
        <w:t xml:space="preserve">se limitaron a sostener que no existe la resolución controvertida, pues no la emitieron, ni ordenaron ni ejecutaron, por lo que no se afectaban los intereses jurídicos de la parte actora. . . . . . . . . . . . . . . . . . </w:t>
      </w:r>
    </w:p>
    <w:p w:rsidR="001B7565" w:rsidRDefault="001B7565" w:rsidP="001B7565">
      <w:pPr>
        <w:tabs>
          <w:tab w:val="left" w:pos="3594"/>
        </w:tabs>
        <w:jc w:val="both"/>
        <w:rPr>
          <w:rFonts w:ascii="Calibri" w:hAnsi="Calibri" w:cs="Calibri"/>
          <w:iCs/>
          <w:color w:val="7F7F7F" w:themeColor="text1" w:themeTint="80"/>
          <w:sz w:val="26"/>
          <w:szCs w:val="26"/>
          <w:lang w:val="es-MX"/>
        </w:rPr>
      </w:pPr>
    </w:p>
    <w:p w:rsidR="001B7565" w:rsidRDefault="001B7565" w:rsidP="001B7565">
      <w:pPr>
        <w:pStyle w:val="Textoindependiente"/>
        <w:tabs>
          <w:tab w:val="left" w:pos="3594"/>
        </w:tabs>
        <w:rPr>
          <w:rFonts w:ascii="Calibri" w:hAnsi="Calibri" w:cs="Calibri"/>
          <w:color w:val="7F7F7F" w:themeColor="text1" w:themeTint="80"/>
          <w:sz w:val="26"/>
          <w:szCs w:val="26"/>
        </w:rPr>
      </w:pPr>
    </w:p>
    <w:p w:rsidR="001B7565" w:rsidRDefault="001B7565" w:rsidP="001B75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972/2016-JN</w:t>
      </w:r>
    </w:p>
    <w:p w:rsidR="001B7565" w:rsidRDefault="001B7565" w:rsidP="001B7565">
      <w:pPr>
        <w:pStyle w:val="Textoindependiente"/>
        <w:tabs>
          <w:tab w:val="left" w:pos="3594"/>
        </w:tabs>
        <w:rPr>
          <w:rFonts w:ascii="Calibri" w:hAnsi="Calibri" w:cs="Calibri"/>
          <w:color w:val="7F7F7F" w:themeColor="text1" w:themeTint="80"/>
          <w:sz w:val="26"/>
          <w:szCs w:val="26"/>
        </w:rPr>
      </w:pPr>
    </w:p>
    <w:p w:rsidR="001B7565" w:rsidRDefault="001B7565" w:rsidP="001B7565">
      <w:pPr>
        <w:pStyle w:val="Textoindependiente"/>
        <w:tabs>
          <w:tab w:val="left" w:pos="3594"/>
        </w:tabs>
        <w:rPr>
          <w:rFonts w:ascii="Calibri" w:hAnsi="Calibri"/>
          <w:bCs/>
          <w:color w:val="767171" w:themeColor="background2" w:themeShade="80"/>
          <w:sz w:val="26"/>
          <w:szCs w:val="26"/>
        </w:rPr>
      </w:pPr>
      <w:r>
        <w:rPr>
          <w:rFonts w:ascii="Calibri" w:hAnsi="Calibri" w:cs="Calibri"/>
          <w:color w:val="7F7F7F" w:themeColor="text1" w:themeTint="80"/>
          <w:sz w:val="26"/>
          <w:szCs w:val="26"/>
        </w:rPr>
        <w:lastRenderedPageBreak/>
        <w:t xml:space="preserve">            Así las cosas,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planteada se hace consistir en determinar la legalidad o ilegalidad de la resolución por la que se calificó una infracción al Reglamento de Tránsito Municipal, imponiéndose una sanción consistente en una multa, tal y como se desprende del recibo oficial de pago con número de folio AA 6092202, además, la de establecer la procedencia o improcedencia de la devolución de la</w:t>
      </w:r>
      <w:r>
        <w:rPr>
          <w:rFonts w:ascii="Calibri" w:hAnsi="Calibri"/>
          <w:bCs/>
          <w:color w:val="7F7F7F" w:themeColor="text1" w:themeTint="80"/>
          <w:sz w:val="26"/>
          <w:szCs w:val="26"/>
        </w:rPr>
        <w:t xml:space="preserve"> cantidad pagada por concepto de multa </w:t>
      </w:r>
      <w:r>
        <w:rPr>
          <w:rFonts w:ascii="Calibri" w:hAnsi="Calibri"/>
          <w:bCs/>
          <w:color w:val="767171" w:themeColor="background2" w:themeShade="80"/>
          <w:sz w:val="26"/>
          <w:szCs w:val="26"/>
        </w:rPr>
        <w:t xml:space="preserve">y gastos de ejecución. . </w:t>
      </w:r>
    </w:p>
    <w:p w:rsidR="001B7565" w:rsidRDefault="001B7565" w:rsidP="001B7565">
      <w:pPr>
        <w:pStyle w:val="Textoindependiente"/>
        <w:tabs>
          <w:tab w:val="left" w:pos="3594"/>
        </w:tabs>
        <w:rPr>
          <w:rFonts w:ascii="Calibri" w:hAnsi="Calibri" w:cs="Calibri"/>
          <w:color w:val="7F7F7F" w:themeColor="text1" w:themeTint="80"/>
          <w:sz w:val="26"/>
          <w:szCs w:val="26"/>
        </w:rPr>
      </w:pPr>
    </w:p>
    <w:p w:rsidR="001B7565" w:rsidRDefault="001B7565" w:rsidP="001B7565">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SEXTO.- </w:t>
      </w:r>
      <w:r>
        <w:rPr>
          <w:rFonts w:ascii="Calibri" w:hAnsi="Calibri" w:cs="Calibri"/>
          <w:color w:val="7F7F7F" w:themeColor="text1" w:themeTint="80"/>
          <w:sz w:val="26"/>
          <w:szCs w:val="26"/>
          <w:lang w:val="es-ES"/>
        </w:rPr>
        <w:t xml:space="preserve">No existiendo impedimento legal, se procede a analizar el concepto de impugnación hecho valer por el </w:t>
      </w:r>
      <w:proofErr w:type="spellStart"/>
      <w:r>
        <w:rPr>
          <w:rFonts w:ascii="Calibri" w:hAnsi="Calibri" w:cs="Calibri"/>
          <w:color w:val="7F7F7F" w:themeColor="text1" w:themeTint="80"/>
          <w:sz w:val="26"/>
          <w:szCs w:val="26"/>
          <w:lang w:val="es-ES"/>
        </w:rPr>
        <w:t>enjuiciante</w:t>
      </w:r>
      <w:proofErr w:type="spellEnd"/>
      <w:r>
        <w:rPr>
          <w:rFonts w:ascii="Calibri" w:hAnsi="Calibri" w:cs="Calibri"/>
          <w:color w:val="7F7F7F" w:themeColor="text1" w:themeTint="80"/>
          <w:sz w:val="26"/>
          <w:szCs w:val="26"/>
          <w:lang w:val="es-ES"/>
        </w:rPr>
        <w:t xml:space="preserve"> que se </w:t>
      </w:r>
      <w:r>
        <w:rPr>
          <w:rFonts w:ascii="Calibri" w:hAnsi="Calibri"/>
          <w:color w:val="7F7F7F" w:themeColor="text1" w:themeTint="80"/>
          <w:sz w:val="26"/>
        </w:rPr>
        <w:t xml:space="preserve">considera trascendental para emitir la presente resolución; como lo es el señalado como </w:t>
      </w:r>
      <w:r>
        <w:rPr>
          <w:rFonts w:ascii="Calibri" w:hAnsi="Calibri"/>
          <w:b/>
          <w:color w:val="7F7F7F" w:themeColor="text1" w:themeTint="80"/>
          <w:sz w:val="26"/>
        </w:rPr>
        <w:t>Primero</w:t>
      </w:r>
      <w:r>
        <w:rPr>
          <w:rFonts w:ascii="Calibri" w:hAnsi="Calibri"/>
          <w:color w:val="7F7F7F" w:themeColor="text1" w:themeTint="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 . . . . . . . .</w:t>
      </w:r>
    </w:p>
    <w:p w:rsidR="001B7565" w:rsidRDefault="001B7565" w:rsidP="001B7565">
      <w:pPr>
        <w:jc w:val="both"/>
        <w:rPr>
          <w:color w:val="7F7F7F" w:themeColor="text1" w:themeTint="80"/>
          <w:lang w:val="es-MX"/>
        </w:rPr>
      </w:pPr>
    </w:p>
    <w:p w:rsidR="001B7565" w:rsidRDefault="001B7565" w:rsidP="001B7565">
      <w:pPr>
        <w:ind w:firstLine="708"/>
        <w:jc w:val="both"/>
        <w:rPr>
          <w:rFonts w:ascii="Calibri" w:hAnsi="Calibri" w:cs="Calibri"/>
          <w:i/>
          <w:iCs/>
          <w:color w:val="7F7F7F" w:themeColor="text1" w:themeTint="80"/>
          <w:sz w:val="26"/>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7F7F7F" w:themeColor="text1" w:themeTint="80"/>
          <w:sz w:val="26"/>
        </w:rPr>
        <w:t xml:space="preserve">. . . . . . . . . . . . . . . . . . . . . . . . . . . . . . . . . . . . . . . . . . . . . . . . . . . . . . . . . . . . . . . . . </w:t>
      </w:r>
    </w:p>
    <w:p w:rsidR="001B7565" w:rsidRDefault="001B7565" w:rsidP="001B7565">
      <w:pPr>
        <w:jc w:val="both"/>
        <w:rPr>
          <w:rFonts w:ascii="Calibri" w:hAnsi="Calibri" w:cs="Calibri"/>
          <w:i/>
          <w:color w:val="7F7F7F" w:themeColor="text1" w:themeTint="80"/>
          <w:sz w:val="26"/>
          <w:szCs w:val="26"/>
        </w:rPr>
      </w:pPr>
    </w:p>
    <w:p w:rsidR="001B7565" w:rsidRDefault="001B7565" w:rsidP="001B7565">
      <w:pPr>
        <w:ind w:firstLine="708"/>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Así las cosas, en el señalado </w:t>
      </w:r>
      <w:r>
        <w:rPr>
          <w:rFonts w:ascii="Calibri" w:hAnsi="Calibri" w:cs="Calibri"/>
          <w:b/>
          <w:bCs/>
          <w:color w:val="7F7F7F" w:themeColor="text1" w:themeTint="80"/>
          <w:sz w:val="26"/>
          <w:szCs w:val="26"/>
        </w:rPr>
        <w:t xml:space="preserve">Primer </w:t>
      </w:r>
      <w:r>
        <w:rPr>
          <w:rFonts w:ascii="Calibri" w:hAnsi="Calibri" w:cs="Calibri"/>
          <w:color w:val="7F7F7F" w:themeColor="text1" w:themeTint="80"/>
          <w:sz w:val="26"/>
          <w:szCs w:val="26"/>
        </w:rPr>
        <w:t>concepto de impugnación, el actor expuso en esencia:</w:t>
      </w:r>
      <w:r>
        <w:rPr>
          <w:rFonts w:ascii="Calibri" w:hAnsi="Calibri" w:cs="Calibri"/>
          <w:i/>
          <w:color w:val="7F7F7F" w:themeColor="text1" w:themeTint="80"/>
          <w:sz w:val="26"/>
          <w:szCs w:val="26"/>
        </w:rPr>
        <w:t xml:space="preserve"> “El acto o resolución que se impugna se considera violatorio de mis derechos humanos…</w:t>
      </w:r>
      <w:proofErr w:type="gramStart"/>
      <w:r>
        <w:rPr>
          <w:rFonts w:ascii="Calibri" w:hAnsi="Calibri" w:cs="Calibri"/>
          <w:i/>
          <w:color w:val="7F7F7F" w:themeColor="text1" w:themeTint="80"/>
          <w:sz w:val="26"/>
          <w:szCs w:val="26"/>
        </w:rPr>
        <w:t>..</w:t>
      </w:r>
      <w:proofErr w:type="gramEnd"/>
      <w:r>
        <w:rPr>
          <w:rFonts w:ascii="Calibri" w:hAnsi="Calibri" w:cs="Calibri"/>
          <w:i/>
          <w:color w:val="7F7F7F" w:themeColor="text1" w:themeTint="80"/>
          <w:sz w:val="26"/>
          <w:szCs w:val="26"/>
        </w:rPr>
        <w:t xml:space="preserve"> </w:t>
      </w:r>
      <w:proofErr w:type="gramStart"/>
      <w:r>
        <w:rPr>
          <w:rFonts w:ascii="Calibri" w:hAnsi="Calibri" w:cs="Calibri"/>
          <w:i/>
          <w:color w:val="7F7F7F" w:themeColor="text1" w:themeTint="80"/>
          <w:sz w:val="26"/>
          <w:szCs w:val="26"/>
        </w:rPr>
        <w:t>en</w:t>
      </w:r>
      <w:proofErr w:type="gramEnd"/>
      <w:r>
        <w:rPr>
          <w:rFonts w:ascii="Calibri" w:hAnsi="Calibri" w:cs="Calibri"/>
          <w:i/>
          <w:color w:val="7F7F7F" w:themeColor="text1" w:themeTint="80"/>
          <w:sz w:val="26"/>
          <w:szCs w:val="26"/>
        </w:rPr>
        <w:t xml:space="preserve"> la resolución que se impugna resulta claro que la resolución de imponer sanción pecuniaria por la cantidad de $892.78 Ochocientos noventa y dos pesos 78/100 Moneda Nacional) carece de la debida fundamentación y motivación…… solo menciona como motivo: 454 no respetar </w:t>
      </w:r>
      <w:proofErr w:type="spellStart"/>
      <w:r>
        <w:rPr>
          <w:rFonts w:ascii="Calibri" w:hAnsi="Calibri" w:cs="Calibri"/>
          <w:i/>
          <w:color w:val="7F7F7F" w:themeColor="text1" w:themeTint="80"/>
          <w:sz w:val="26"/>
          <w:szCs w:val="26"/>
        </w:rPr>
        <w:t>lim</w:t>
      </w:r>
      <w:proofErr w:type="spellEnd"/>
      <w:r>
        <w:rPr>
          <w:rFonts w:ascii="Calibri" w:hAnsi="Calibri" w:cs="Calibri"/>
          <w:i/>
          <w:color w:val="7F7F7F" w:themeColor="text1" w:themeTint="80"/>
          <w:sz w:val="26"/>
          <w:szCs w:val="26"/>
        </w:rPr>
        <w:t xml:space="preserve">”, sin embargo no se especifica el fundamento…”. . . . . . . . . . . . . . . . . . . . . . . . . </w:t>
      </w:r>
    </w:p>
    <w:p w:rsidR="001B7565" w:rsidRDefault="001B7565" w:rsidP="001B7565">
      <w:pPr>
        <w:jc w:val="both"/>
        <w:rPr>
          <w:rFonts w:ascii="Calibri" w:hAnsi="Calibri" w:cs="Calibri"/>
          <w:color w:val="7F7F7F" w:themeColor="text1" w:themeTint="80"/>
          <w:sz w:val="26"/>
          <w:szCs w:val="26"/>
        </w:rPr>
      </w:pPr>
    </w:p>
    <w:p w:rsidR="001B7565" w:rsidRDefault="001B7565" w:rsidP="001B756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lastRenderedPageBreak/>
        <w:t xml:space="preserve">A lo expresado por el actor, las autoridades demandadas se limitaron a sostener que el acto no afectaba sus intereses jurídicos y que no fue emitido ni ordenado por tales autoridades. </w:t>
      </w:r>
      <w:r>
        <w:rPr>
          <w:rFonts w:ascii="Calibri" w:hAnsi="Calibri"/>
          <w:color w:val="7F7F7F" w:themeColor="text1" w:themeTint="80"/>
          <w:sz w:val="26"/>
          <w:szCs w:val="26"/>
        </w:rPr>
        <w:t xml:space="preserve">. . . . . . . . . . . . . . . . . . . . . . . . . . . . . . . . . . . . . . . . . </w:t>
      </w:r>
    </w:p>
    <w:p w:rsidR="001B7565" w:rsidRDefault="001B7565" w:rsidP="001B7565">
      <w:pPr>
        <w:jc w:val="both"/>
        <w:rPr>
          <w:rFonts w:ascii="Calibri" w:hAnsi="Calibri" w:cs="Calibri"/>
          <w:color w:val="7F7F7F" w:themeColor="text1" w:themeTint="80"/>
          <w:sz w:val="26"/>
          <w:szCs w:val="26"/>
        </w:rPr>
      </w:pPr>
    </w:p>
    <w:p w:rsidR="001B7565" w:rsidRDefault="001B7565" w:rsidP="001B7565">
      <w:pPr>
        <w:ind w:firstLine="708"/>
        <w:jc w:val="both"/>
        <w:rPr>
          <w:rFonts w:ascii="Calibri" w:hAnsi="Calibri" w:cs="Calibri"/>
          <w:bCs/>
          <w:color w:val="767171" w:themeColor="background2" w:themeShade="80"/>
          <w:sz w:val="26"/>
          <w:szCs w:val="26"/>
        </w:rPr>
      </w:pPr>
      <w:r>
        <w:rPr>
          <w:rFonts w:ascii="Calibri" w:hAnsi="Calibri" w:cs="Calibri"/>
          <w:bCs/>
          <w:color w:val="7F7F7F" w:themeColor="text1" w:themeTint="80"/>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7F7F7F" w:themeColor="text1" w:themeTint="80"/>
          <w:sz w:val="26"/>
          <w:szCs w:val="26"/>
        </w:rPr>
        <w:t xml:space="preserve">fundado </w:t>
      </w:r>
      <w:r>
        <w:rPr>
          <w:rFonts w:ascii="Calibri" w:hAnsi="Calibri" w:cs="Calibri"/>
          <w:bCs/>
          <w:color w:val="767171" w:themeColor="background2" w:themeShade="80"/>
          <w:sz w:val="26"/>
          <w:szCs w:val="26"/>
        </w:rPr>
        <w:t>ya que para este Juzgador,</w:t>
      </w:r>
      <w:r>
        <w:rPr>
          <w:rFonts w:ascii="Calibri" w:hAnsi="Calibri" w:cs="Calibri"/>
          <w:b/>
          <w:bCs/>
          <w:color w:val="767171" w:themeColor="background2" w:themeShade="80"/>
          <w:sz w:val="26"/>
          <w:szCs w:val="26"/>
        </w:rPr>
        <w:t xml:space="preserve"> </w:t>
      </w:r>
      <w:r>
        <w:rPr>
          <w:rFonts w:ascii="Calibri" w:hAnsi="Calibri" w:cs="Calibri"/>
          <w:bCs/>
          <w:color w:val="767171" w:themeColor="background2" w:themeShade="80"/>
          <w:sz w:val="26"/>
          <w:szCs w:val="26"/>
        </w:rPr>
        <w:t xml:space="preserve">la autoridad que calificó la infracción, en este caso, la Tesorería Municipal (como se dejó establecido en el considerando Cuarto), descartó emitir, debidamente fundada y motivada, la resolución correspondiente, en la que se concluyó imponer una sanción consistente en una multa; ello por las siguientes razones: . . . . . . . . . . . . . . . . . . . . </w:t>
      </w:r>
    </w:p>
    <w:p w:rsidR="001B7565" w:rsidRDefault="001B7565" w:rsidP="001B7565">
      <w:pPr>
        <w:ind w:firstLine="708"/>
        <w:jc w:val="both"/>
        <w:rPr>
          <w:rFonts w:ascii="Calibri" w:hAnsi="Calibri" w:cs="Calibri"/>
          <w:bCs/>
          <w:color w:val="7F7F7F" w:themeColor="text1" w:themeTint="80"/>
          <w:sz w:val="26"/>
          <w:szCs w:val="26"/>
        </w:rPr>
      </w:pPr>
    </w:p>
    <w:p w:rsidR="001B7565" w:rsidRDefault="001B7565" w:rsidP="001B756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acto de autoridad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Pr>
          <w:rFonts w:ascii="Calibri" w:hAnsi="Calibri" w:cs="Calibri"/>
          <w:bCs/>
          <w:color w:val="7F7F7F" w:themeColor="text1" w:themeTint="80"/>
          <w:sz w:val="26"/>
          <w:szCs w:val="26"/>
        </w:rPr>
        <w:t>subincisos</w:t>
      </w:r>
      <w:proofErr w:type="spellEnd"/>
      <w:r>
        <w:rPr>
          <w:rFonts w:ascii="Calibri" w:hAnsi="Calibri" w:cs="Calibri"/>
          <w:bCs/>
          <w:color w:val="7F7F7F" w:themeColor="text1" w:themeTint="80"/>
          <w:sz w:val="26"/>
          <w:szCs w:val="26"/>
        </w:rPr>
        <w:t xml:space="preserve"> que en su caso resulten aplicables; así como la descripción pormenorizada de las circunstancias que dieron motivo primero para levantar el acta, y luego para imponer la sanción;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1B7565" w:rsidRDefault="001B7565" w:rsidP="001B7565">
      <w:pPr>
        <w:ind w:firstLine="708"/>
        <w:jc w:val="both"/>
        <w:rPr>
          <w:rFonts w:ascii="Calibri" w:hAnsi="Calibri" w:cs="Calibri"/>
          <w:bCs/>
          <w:color w:val="7F7F7F" w:themeColor="text1" w:themeTint="80"/>
          <w:sz w:val="26"/>
          <w:szCs w:val="26"/>
        </w:rPr>
      </w:pPr>
    </w:p>
    <w:p w:rsidR="001B7565" w:rsidRDefault="001B7565" w:rsidP="001B756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lastRenderedPageBreak/>
        <w:t xml:space="preserve">Siendo el caso en el asunto que nos ocupa, que ni la Tesorería enjuiciada, ni la Dirección General de Tránsito demandada, acreditaron con medio de prueba idóneo, que la resolución por la cual se impuso la multa, se encuentre debidamente fundada y motivada, por lo que se desconocen las circunstancias de hecho y las razones inmediatas que conllevaron a considerar que el ciudadano ***** cometió la infracción que se le atribuye. . . . . . . . . . . . . . </w:t>
      </w:r>
    </w:p>
    <w:p w:rsidR="001B7565" w:rsidRDefault="001B7565" w:rsidP="001B7565">
      <w:pPr>
        <w:jc w:val="both"/>
        <w:rPr>
          <w:rFonts w:ascii="Calibri" w:hAnsi="Calibri" w:cs="Calibri"/>
          <w:bCs/>
          <w:i/>
          <w:color w:val="7F7F7F" w:themeColor="text1" w:themeTint="80"/>
          <w:sz w:val="20"/>
          <w:szCs w:val="20"/>
        </w:rPr>
      </w:pPr>
    </w:p>
    <w:p w:rsidR="001B7565" w:rsidRDefault="001B7565" w:rsidP="001B7565">
      <w:pPr>
        <w:ind w:firstLine="708"/>
        <w:jc w:val="both"/>
        <w:rPr>
          <w:rFonts w:ascii="Calibri" w:hAnsi="Calibri" w:cs="Calibri"/>
          <w:color w:val="767171" w:themeColor="background2" w:themeShade="80"/>
          <w:sz w:val="26"/>
          <w:szCs w:val="26"/>
        </w:rPr>
      </w:pPr>
      <w:r>
        <w:rPr>
          <w:rFonts w:ascii="Calibri" w:hAnsi="Calibri" w:cs="Calibri"/>
          <w:color w:val="7F7F7F" w:themeColor="text1" w:themeTint="80"/>
          <w:sz w:val="26"/>
          <w:szCs w:val="26"/>
        </w:rPr>
        <w:t xml:space="preserve">Así las cosas, al resultar procedente lo argüido por el impetrante en el concepto de impugnación analizado; se concluye que el acto impugnado se encuentra indebidamente fundado y motivado; </w:t>
      </w:r>
      <w:r>
        <w:rPr>
          <w:rFonts w:ascii="Calibri" w:hAnsi="Calibri" w:cs="Calibri"/>
          <w:bCs/>
          <w:color w:val="7F7F7F" w:themeColor="text1" w:themeTint="80"/>
          <w:sz w:val="26"/>
          <w:szCs w:val="26"/>
        </w:rPr>
        <w:t xml:space="preserve">lo que constituye un vicio de carácter formal, al no cumplirse con el elemento de validez previsto en la fracción VI, del artículo 137, del Código de Procedimiento y Justicia Administrativa para el Estado y los Municipios de Guanajuato, </w:t>
      </w:r>
      <w:r>
        <w:rPr>
          <w:rFonts w:ascii="Calibri" w:hAnsi="Calibri" w:cs="Calibri"/>
          <w:color w:val="7F7F7F" w:themeColor="text1" w:themeTint="80"/>
          <w:sz w:val="26"/>
          <w:szCs w:val="26"/>
        </w:rPr>
        <w:t xml:space="preserve">actualizándose con ello la causa de nulidad prevista en el artículo 302, fracción II del mismo ordenamiento,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w:t>
      </w:r>
      <w:r>
        <w:rPr>
          <w:rFonts w:ascii="Calibri" w:hAnsi="Calibri" w:cs="Calibri"/>
          <w:color w:val="767171" w:themeColor="background2" w:themeShade="80"/>
          <w:sz w:val="26"/>
          <w:szCs w:val="26"/>
        </w:rPr>
        <w:t xml:space="preserve">de la </w:t>
      </w:r>
    </w:p>
    <w:p w:rsidR="001B7565" w:rsidRDefault="001B7565" w:rsidP="001B75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972/2016-JN</w:t>
      </w:r>
    </w:p>
    <w:p w:rsidR="001B7565" w:rsidRDefault="001B7565" w:rsidP="001B7565">
      <w:pPr>
        <w:ind w:firstLine="708"/>
        <w:jc w:val="both"/>
        <w:rPr>
          <w:rFonts w:ascii="Calibri" w:hAnsi="Calibri" w:cs="Calibri"/>
          <w:color w:val="767171" w:themeColor="background2" w:themeShade="80"/>
          <w:sz w:val="26"/>
          <w:szCs w:val="26"/>
        </w:rPr>
      </w:pPr>
    </w:p>
    <w:p w:rsidR="001B7565" w:rsidRDefault="001B7565" w:rsidP="001B7565">
      <w:pPr>
        <w:jc w:val="both"/>
        <w:rPr>
          <w:rFonts w:ascii="Calibri" w:hAnsi="Calibri"/>
          <w:color w:val="767171" w:themeColor="background2" w:themeShade="80"/>
          <w:sz w:val="26"/>
          <w:szCs w:val="26"/>
        </w:rPr>
      </w:pPr>
      <w:r>
        <w:rPr>
          <w:rFonts w:ascii="Calibri" w:hAnsi="Calibri" w:cs="Calibri"/>
          <w:b/>
          <w:color w:val="767171" w:themeColor="background2" w:themeShade="80"/>
          <w:sz w:val="26"/>
          <w:szCs w:val="26"/>
        </w:rPr>
        <w:t>resolución</w:t>
      </w:r>
      <w:r>
        <w:rPr>
          <w:rFonts w:ascii="Calibri" w:hAnsi="Calibri" w:cs="Calibri"/>
          <w:color w:val="767171" w:themeColor="background2" w:themeShade="80"/>
          <w:sz w:val="26"/>
          <w:szCs w:val="26"/>
        </w:rPr>
        <w:t xml:space="preserve"> combatida, mediante la cual se calificó la infracción e impuso una multa, tal y como se aprecia en el recibo previamente citado, </w:t>
      </w:r>
      <w:r>
        <w:rPr>
          <w:rFonts w:ascii="Calibri" w:hAnsi="Calibri" w:cs="Calibri"/>
          <w:b/>
          <w:color w:val="767171" w:themeColor="background2" w:themeShade="80"/>
          <w:sz w:val="26"/>
          <w:szCs w:val="26"/>
        </w:rPr>
        <w:t xml:space="preserve">para el determinado efecto, </w:t>
      </w:r>
      <w:r>
        <w:rPr>
          <w:rFonts w:ascii="Calibri" w:hAnsi="Calibri" w:cs="Calibri"/>
          <w:color w:val="767171" w:themeColor="background2" w:themeShade="80"/>
          <w:sz w:val="26"/>
          <w:szCs w:val="26"/>
        </w:rPr>
        <w:t xml:space="preserve">de que la Tesorería Municipal demandada, </w:t>
      </w:r>
      <w:r>
        <w:rPr>
          <w:rFonts w:ascii="Calibri" w:hAnsi="Calibri" w:cs="Calibri"/>
          <w:bCs/>
          <w:iCs/>
          <w:color w:val="767171" w:themeColor="background2" w:themeShade="80"/>
          <w:sz w:val="26"/>
          <w:szCs w:val="26"/>
        </w:rPr>
        <w:t>dentro de los</w:t>
      </w:r>
      <w:r>
        <w:rPr>
          <w:rFonts w:ascii="Calibri" w:hAnsi="Calibri" w:cs="Calibri"/>
          <w:b/>
          <w:bCs/>
          <w:iCs/>
          <w:color w:val="767171" w:themeColor="background2" w:themeShade="80"/>
          <w:sz w:val="26"/>
          <w:szCs w:val="26"/>
        </w:rPr>
        <w:t xml:space="preserve"> 15 quince días hábiles </w:t>
      </w:r>
      <w:r>
        <w:rPr>
          <w:rFonts w:ascii="Calibri" w:hAnsi="Calibri" w:cs="Calibri"/>
          <w:color w:val="767171" w:themeColor="background2" w:themeShade="80"/>
          <w:sz w:val="26"/>
          <w:szCs w:val="26"/>
        </w:rPr>
        <w:t xml:space="preserve">siguientes a la fecha en que cause ejecutoria la presente sentencia, </w:t>
      </w:r>
      <w:r>
        <w:rPr>
          <w:rFonts w:ascii="Calibri" w:hAnsi="Calibri"/>
          <w:color w:val="767171" w:themeColor="background2" w:themeShade="80"/>
          <w:sz w:val="26"/>
          <w:szCs w:val="26"/>
        </w:rPr>
        <w:t>lleve a cabo el procedimiento, que al efecto tenga establecido</w:t>
      </w:r>
      <w:r>
        <w:rPr>
          <w:rFonts w:ascii="Calibri" w:hAnsi="Calibri" w:cs="Calibri"/>
          <w:color w:val="767171" w:themeColor="background2" w:themeShade="80"/>
          <w:sz w:val="26"/>
          <w:szCs w:val="26"/>
        </w:rPr>
        <w:t xml:space="preserve">, </w:t>
      </w:r>
      <w:r>
        <w:rPr>
          <w:rFonts w:ascii="Calibri" w:hAnsi="Calibri"/>
          <w:color w:val="767171" w:themeColor="background2" w:themeShade="80"/>
          <w:sz w:val="26"/>
          <w:szCs w:val="26"/>
        </w:rPr>
        <w:t>para la calificación de la infracción e imposición de la sanción correspondiente, en donde se respete la garantía de audiencia del ciudadano *****. . . . . .</w:t>
      </w:r>
    </w:p>
    <w:p w:rsidR="001B7565" w:rsidRDefault="001B7565" w:rsidP="001B7565">
      <w:pPr>
        <w:ind w:firstLine="708"/>
        <w:jc w:val="both"/>
        <w:rPr>
          <w:rFonts w:ascii="Calibri" w:hAnsi="Calibri"/>
          <w:color w:val="767171" w:themeColor="background2" w:themeShade="80"/>
          <w:sz w:val="26"/>
          <w:szCs w:val="26"/>
        </w:rPr>
      </w:pPr>
    </w:p>
    <w:p w:rsidR="001B7565" w:rsidRDefault="001B7565" w:rsidP="001B7565">
      <w:pPr>
        <w:ind w:firstLine="708"/>
        <w:jc w:val="both"/>
        <w:rPr>
          <w:rFonts w:ascii="Calibri" w:hAnsi="Calibri"/>
          <w:color w:val="767171" w:themeColor="background2" w:themeShade="80"/>
          <w:sz w:val="26"/>
          <w:szCs w:val="26"/>
        </w:rPr>
      </w:pPr>
      <w:r>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Pr>
            <w:rFonts w:ascii="Calibri" w:hAnsi="Calibri" w:cs="Calibri"/>
            <w:i/>
            <w:color w:val="767171" w:themeColor="background2" w:themeShade="80"/>
            <w:sz w:val="26"/>
            <w:szCs w:val="26"/>
          </w:rPr>
          <w:t>2008”</w:t>
        </w:r>
      </w:smartTag>
      <w:r>
        <w:rPr>
          <w:rFonts w:ascii="Calibri" w:hAnsi="Calibri" w:cs="Calibri"/>
          <w:color w:val="767171" w:themeColor="background2" w:themeShade="80"/>
          <w:sz w:val="26"/>
          <w:szCs w:val="26"/>
        </w:rPr>
        <w:t xml:space="preserve"> del referido Tribunal, la cual es del tenor siguiente: . . . . . . . . . . . . . . . . . . . . </w:t>
      </w:r>
    </w:p>
    <w:p w:rsidR="001B7565" w:rsidRDefault="001B7565" w:rsidP="001B7565">
      <w:pPr>
        <w:pStyle w:val="Textoindependiente"/>
        <w:ind w:firstLine="708"/>
        <w:rPr>
          <w:rFonts w:ascii="Calibri" w:hAnsi="Calibri" w:cs="Calibri"/>
          <w:color w:val="767171" w:themeColor="background2" w:themeShade="80"/>
          <w:sz w:val="20"/>
          <w:szCs w:val="20"/>
          <w:lang w:val="es-ES"/>
        </w:rPr>
      </w:pPr>
    </w:p>
    <w:p w:rsidR="001B7565" w:rsidRDefault="001B7565" w:rsidP="001B7565">
      <w:pPr>
        <w:pStyle w:val="Textoindependiente"/>
        <w:ind w:firstLine="708"/>
        <w:rPr>
          <w:rFonts w:ascii="Calibri" w:hAnsi="Calibri" w:cs="Calibri"/>
          <w:i/>
          <w:iCs/>
          <w:color w:val="767171" w:themeColor="background2" w:themeShade="80"/>
          <w:sz w:val="26"/>
          <w:szCs w:val="26"/>
        </w:rPr>
      </w:pPr>
      <w:r>
        <w:rPr>
          <w:rFonts w:ascii="Calibri" w:hAnsi="Calibri" w:cs="Calibri"/>
          <w:b/>
          <w:bCs/>
          <w:i/>
          <w:iCs/>
          <w:color w:val="767171" w:themeColor="background2" w:themeShade="80"/>
          <w:sz w:val="26"/>
          <w:szCs w:val="26"/>
        </w:rPr>
        <w:t xml:space="preserve">“INDEBIDA FUNDAMENTACIÓN Y MOTIVACIÓN.- PROCEDE DECRETAR LA NULIDAD LISA Y LLANA.- </w:t>
      </w:r>
      <w:r>
        <w:rPr>
          <w:rFonts w:ascii="Calibri" w:hAnsi="Calibri" w:cs="Calibri"/>
          <w:i/>
          <w:iCs/>
          <w:color w:val="767171" w:themeColor="background2" w:themeShade="80"/>
          <w:sz w:val="26"/>
          <w:szCs w:val="26"/>
        </w:rPr>
        <w:t xml:space="preserve">La ausencia de fundamentación y motivación deriva en el </w:t>
      </w:r>
      <w:proofErr w:type="spellStart"/>
      <w:r>
        <w:rPr>
          <w:rFonts w:ascii="Calibri" w:hAnsi="Calibri" w:cs="Calibri"/>
          <w:i/>
          <w:iCs/>
          <w:color w:val="767171" w:themeColor="background2" w:themeShade="80"/>
          <w:sz w:val="26"/>
          <w:szCs w:val="26"/>
        </w:rPr>
        <w:t>decretamiento</w:t>
      </w:r>
      <w:proofErr w:type="spellEnd"/>
      <w:r>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Pr>
          <w:rFonts w:ascii="Calibri" w:hAnsi="Calibri" w:cs="Calibri"/>
          <w:color w:val="767171" w:themeColor="background2" w:themeShade="80"/>
          <w:sz w:val="22"/>
          <w:szCs w:val="22"/>
        </w:rPr>
        <w:t>(</w:t>
      </w:r>
      <w:proofErr w:type="spellStart"/>
      <w:r>
        <w:rPr>
          <w:rFonts w:ascii="Calibri" w:hAnsi="Calibri" w:cs="Calibri"/>
          <w:color w:val="767171" w:themeColor="background2" w:themeShade="80"/>
          <w:sz w:val="22"/>
          <w:szCs w:val="22"/>
        </w:rPr>
        <w:t>Exp</w:t>
      </w:r>
      <w:proofErr w:type="spellEnd"/>
      <w:r>
        <w:rPr>
          <w:rFonts w:ascii="Calibri" w:hAnsi="Calibri" w:cs="Calibri"/>
          <w:color w:val="767171" w:themeColor="background2" w:themeShade="80"/>
          <w:sz w:val="22"/>
          <w:szCs w:val="22"/>
        </w:rPr>
        <w:t xml:space="preserve">. 4.509/02. Sentencia de fecha 09 nueve de mayo de 2003. Actor: Martha Isabel </w:t>
      </w:r>
      <w:proofErr w:type="spellStart"/>
      <w:r>
        <w:rPr>
          <w:rFonts w:ascii="Calibri" w:hAnsi="Calibri" w:cs="Calibri"/>
          <w:color w:val="767171" w:themeColor="background2" w:themeShade="80"/>
          <w:sz w:val="22"/>
          <w:szCs w:val="22"/>
        </w:rPr>
        <w:t>Espriu</w:t>
      </w:r>
      <w:proofErr w:type="spellEnd"/>
      <w:r>
        <w:rPr>
          <w:rFonts w:ascii="Calibri" w:hAnsi="Calibri" w:cs="Calibri"/>
          <w:color w:val="767171" w:themeColor="background2" w:themeShade="80"/>
          <w:sz w:val="22"/>
          <w:szCs w:val="22"/>
        </w:rPr>
        <w:t xml:space="preserve"> Manrique). </w:t>
      </w:r>
      <w:r>
        <w:rPr>
          <w:rFonts w:ascii="Calibri" w:hAnsi="Calibri" w:cs="Calibri"/>
          <w:color w:val="767171" w:themeColor="background2" w:themeShade="80"/>
          <w:sz w:val="26"/>
          <w:szCs w:val="26"/>
        </w:rPr>
        <w:t xml:space="preserve">. . . . . . .  </w:t>
      </w:r>
    </w:p>
    <w:p w:rsidR="001B7565" w:rsidRDefault="001B7565" w:rsidP="001B7565">
      <w:pPr>
        <w:jc w:val="both"/>
        <w:rPr>
          <w:rFonts w:ascii="Calibri" w:hAnsi="Calibri"/>
          <w:color w:val="7F7F7F" w:themeColor="text1" w:themeTint="80"/>
          <w:sz w:val="20"/>
          <w:szCs w:val="20"/>
        </w:rPr>
      </w:pPr>
    </w:p>
    <w:p w:rsidR="001B7565" w:rsidRDefault="001B7565" w:rsidP="001B7565">
      <w:pPr>
        <w:pStyle w:val="Textoindependiente"/>
        <w:ind w:firstLine="708"/>
        <w:rPr>
          <w:rFonts w:ascii="Calibri" w:hAnsi="Calibri"/>
          <w:color w:val="767171" w:themeColor="background2" w:themeShade="80"/>
          <w:sz w:val="26"/>
          <w:szCs w:val="26"/>
          <w:lang w:eastAsia="es-MX"/>
        </w:rPr>
      </w:pPr>
      <w:r>
        <w:rPr>
          <w:rFonts w:ascii="Calibri" w:hAnsi="Calibri"/>
          <w:color w:val="767171" w:themeColor="background2" w:themeShade="80"/>
          <w:sz w:val="26"/>
          <w:szCs w:val="26"/>
          <w:lang w:eastAsia="es-MX"/>
        </w:rPr>
        <w:t>Por último, en relación a la excepción de falta de derecho que opuso la autoridad demandada, Tesorero Municipal, se expresa lo siguiente: . . . . . . . . . . . .</w:t>
      </w:r>
    </w:p>
    <w:p w:rsidR="001B7565" w:rsidRDefault="001B7565" w:rsidP="001B7565">
      <w:pPr>
        <w:pStyle w:val="Textoindependiente"/>
        <w:rPr>
          <w:rFonts w:ascii="Calibri" w:hAnsi="Calibri"/>
          <w:color w:val="767171" w:themeColor="background2" w:themeShade="80"/>
          <w:sz w:val="20"/>
          <w:szCs w:val="20"/>
          <w:lang w:eastAsia="es-MX"/>
        </w:rPr>
      </w:pPr>
    </w:p>
    <w:p w:rsidR="001B7565" w:rsidRDefault="001B7565" w:rsidP="001B7565">
      <w:pPr>
        <w:pStyle w:val="Textoindependiente"/>
        <w:ind w:firstLine="708"/>
        <w:rPr>
          <w:rFonts w:ascii="Calibri" w:hAnsi="Calibri"/>
          <w:color w:val="767171" w:themeColor="background2" w:themeShade="80"/>
          <w:sz w:val="26"/>
          <w:szCs w:val="26"/>
          <w:lang w:eastAsia="es-MX"/>
        </w:rPr>
      </w:pPr>
      <w:r>
        <w:rPr>
          <w:rFonts w:ascii="Calibri" w:hAnsi="Calibri"/>
          <w:color w:val="767171" w:themeColor="background2" w:themeShade="80"/>
          <w:sz w:val="26"/>
          <w:szCs w:val="26"/>
          <w:lang w:eastAsia="es-MX"/>
        </w:rPr>
        <w:t xml:space="preserve">No opera dicha excepción en el asunto que nos ocupa; dado que como ya se dijo con anterioridad, el presente proceso fue procedente; y tan no carecía de derecho la parte actora, que se decretó la nulidad, para determinado efecto, del acto impugnado, al existir afectación al derecho humano de audiencia y al patrimonio del justiciable. . . . .  . . . . . . . . . . . . . . . . . . . . . . . . . . . . . . . . . . . . . . . . . . </w:t>
      </w:r>
    </w:p>
    <w:p w:rsidR="001B7565" w:rsidRDefault="001B7565" w:rsidP="001B7565">
      <w:pPr>
        <w:jc w:val="both"/>
        <w:rPr>
          <w:rFonts w:ascii="Calibri" w:hAnsi="Calibri"/>
          <w:color w:val="7F7F7F" w:themeColor="text1" w:themeTint="80"/>
          <w:sz w:val="20"/>
          <w:szCs w:val="20"/>
        </w:rPr>
      </w:pPr>
    </w:p>
    <w:p w:rsidR="001B7565" w:rsidRDefault="001B7565" w:rsidP="001B7565">
      <w:pPr>
        <w:ind w:firstLine="708"/>
        <w:jc w:val="both"/>
        <w:rPr>
          <w:rFonts w:ascii="Calibri" w:hAnsi="Calibri" w:cs="Arial"/>
          <w:color w:val="7F7F7F" w:themeColor="text1" w:themeTint="80"/>
          <w:sz w:val="26"/>
          <w:szCs w:val="26"/>
        </w:rPr>
      </w:pPr>
      <w:r>
        <w:rPr>
          <w:rFonts w:ascii="Calibri" w:hAnsi="Calibri"/>
          <w:b/>
          <w:bCs/>
          <w:i/>
          <w:iCs/>
          <w:color w:val="7F7F7F" w:themeColor="text1" w:themeTint="80"/>
          <w:sz w:val="26"/>
          <w:szCs w:val="26"/>
        </w:rPr>
        <w:t xml:space="preserve">SÉPTIMO.- </w:t>
      </w:r>
      <w:r>
        <w:rPr>
          <w:rFonts w:ascii="Calibri" w:hAnsi="Calibri" w:cs="Arial"/>
          <w:color w:val="7F7F7F" w:themeColor="text1" w:themeTint="80"/>
          <w:sz w:val="26"/>
          <w:szCs w:val="26"/>
        </w:rPr>
        <w:t xml:space="preserve">En virtud de que el primer concepto de impugnación en estudio, resultó fundado y es suficiente para decretar la nulidad total del acto impugnado; resulta innecesario el estudio del segundo expresado, ya que ello no cambiaría, ni afectaría el sentido de esta resolución. . . . . . . . . . . . . . . . . . . . . . . . . . </w:t>
      </w:r>
    </w:p>
    <w:p w:rsidR="001B7565" w:rsidRDefault="001B7565" w:rsidP="001B7565">
      <w:pPr>
        <w:pStyle w:val="Textoindependiente"/>
        <w:rPr>
          <w:rFonts w:ascii="Calibri" w:hAnsi="Calibri"/>
          <w:b/>
          <w:bCs/>
          <w:i/>
          <w:iCs/>
          <w:color w:val="7F7F7F" w:themeColor="text1" w:themeTint="80"/>
          <w:sz w:val="20"/>
          <w:szCs w:val="20"/>
          <w:lang w:val="es-ES"/>
        </w:rPr>
      </w:pPr>
    </w:p>
    <w:p w:rsidR="001B7565" w:rsidRDefault="001B7565" w:rsidP="001B756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1B7565" w:rsidRDefault="001B7565" w:rsidP="001B7565">
      <w:pPr>
        <w:pStyle w:val="Textoindependiente"/>
        <w:ind w:firstLine="708"/>
        <w:rPr>
          <w:rFonts w:ascii="Calibri" w:hAnsi="Calibri" w:cs="Arial"/>
          <w:color w:val="7F7F7F" w:themeColor="text1" w:themeTint="80"/>
          <w:sz w:val="20"/>
          <w:szCs w:val="27"/>
        </w:rPr>
      </w:pPr>
    </w:p>
    <w:p w:rsidR="001B7565" w:rsidRDefault="001B7565" w:rsidP="001B7565">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rFonts w:ascii="Calibri" w:hAnsi="Calibri"/>
          <w:color w:val="7F7F7F" w:themeColor="text1" w:themeTint="80"/>
          <w:sz w:val="26"/>
          <w:szCs w:val="26"/>
        </w:rPr>
        <w:t xml:space="preserve">. . . . </w:t>
      </w:r>
      <w:r>
        <w:rPr>
          <w:rFonts w:ascii="Calibri" w:hAnsi="Calibri"/>
          <w:color w:val="767171" w:themeColor="background2" w:themeShade="80"/>
          <w:sz w:val="26"/>
          <w:szCs w:val="26"/>
          <w:lang w:eastAsia="es-MX"/>
        </w:rPr>
        <w:t>. . .  . . . . . . . . . . . . . . . . . . . . . . . . . . . . . . . . . . . . . . . . . . . . . . . . . . . . . . .</w:t>
      </w:r>
    </w:p>
    <w:p w:rsidR="001B7565" w:rsidRDefault="001B7565" w:rsidP="001B7565">
      <w:pPr>
        <w:pStyle w:val="Textoindependiente"/>
        <w:ind w:firstLine="708"/>
        <w:rPr>
          <w:rFonts w:ascii="Calibri" w:hAnsi="Calibri" w:cs="Arial"/>
          <w:b/>
          <w:i/>
          <w:color w:val="7F7F7F" w:themeColor="text1" w:themeTint="80"/>
          <w:sz w:val="20"/>
          <w:szCs w:val="20"/>
        </w:rPr>
      </w:pPr>
    </w:p>
    <w:p w:rsidR="001B7565" w:rsidRDefault="001B7565" w:rsidP="001B7565">
      <w:pPr>
        <w:ind w:firstLine="708"/>
        <w:jc w:val="both"/>
        <w:rPr>
          <w:rFonts w:ascii="Calibri" w:hAnsi="Calibri" w:cs="Calibri"/>
          <w:bCs/>
          <w:iCs/>
          <w:color w:val="767171" w:themeColor="background2" w:themeShade="80"/>
          <w:sz w:val="26"/>
          <w:szCs w:val="26"/>
        </w:rPr>
      </w:pPr>
      <w:r>
        <w:rPr>
          <w:rFonts w:ascii="Calibri" w:hAnsi="Calibri" w:cs="Arial"/>
          <w:b/>
          <w:i/>
          <w:color w:val="767171" w:themeColor="background2" w:themeShade="80"/>
          <w:sz w:val="26"/>
          <w:szCs w:val="27"/>
        </w:rPr>
        <w:t xml:space="preserve">OCTAVO.-  </w:t>
      </w:r>
      <w:r>
        <w:rPr>
          <w:rFonts w:ascii="Calibri" w:hAnsi="Calibri"/>
          <w:color w:val="767171" w:themeColor="background2" w:themeShade="80"/>
          <w:sz w:val="26"/>
          <w:szCs w:val="26"/>
        </w:rPr>
        <w:t xml:space="preserve">De lo pretendido por la demandante, </w:t>
      </w:r>
      <w:r>
        <w:rPr>
          <w:rFonts w:ascii="Calibri" w:hAnsi="Calibri" w:cs="Arial"/>
          <w:color w:val="767171" w:themeColor="background2" w:themeShade="80"/>
          <w:sz w:val="26"/>
          <w:szCs w:val="27"/>
        </w:rPr>
        <w:t xml:space="preserve">se encuentra también lo concerniente a que se ordene a la autoridad demandada a que devuelva </w:t>
      </w:r>
      <w:r>
        <w:rPr>
          <w:rFonts w:ascii="Calibri" w:hAnsi="Calibri"/>
          <w:color w:val="767171" w:themeColor="background2" w:themeShade="80"/>
          <w:sz w:val="26"/>
          <w:szCs w:val="26"/>
        </w:rPr>
        <w:t xml:space="preserve">la cantidad de </w:t>
      </w:r>
      <w:r>
        <w:rPr>
          <w:rFonts w:ascii="Calibri" w:hAnsi="Calibri" w:cs="Calibri"/>
          <w:color w:val="7F7F7F" w:themeColor="text1" w:themeTint="80"/>
          <w:sz w:val="26"/>
          <w:szCs w:val="26"/>
        </w:rPr>
        <w:t>$892.78 Ochocientos noventa y dos pesos 78/100 Moneda Nacional)</w:t>
      </w:r>
      <w:r>
        <w:rPr>
          <w:rFonts w:ascii="Calibri" w:hAnsi="Calibri"/>
          <w:color w:val="7F7F7F" w:themeColor="text1" w:themeTint="80"/>
          <w:sz w:val="26"/>
          <w:szCs w:val="26"/>
        </w:rPr>
        <w:t xml:space="preserve">; </w:t>
      </w:r>
      <w:r>
        <w:rPr>
          <w:rFonts w:ascii="Calibri" w:hAnsi="Calibri" w:cs="Calibri"/>
          <w:iCs/>
          <w:color w:val="767171" w:themeColor="background2" w:themeShade="80"/>
          <w:sz w:val="26"/>
          <w:szCs w:val="26"/>
        </w:rPr>
        <w:t xml:space="preserve">lo que se encuentra debidamente acreditado con el original del recibo oficial de pago con número </w:t>
      </w:r>
      <w:r>
        <w:rPr>
          <w:rFonts w:ascii="Calibri" w:hAnsi="Calibri" w:cs="Calibri"/>
          <w:color w:val="7F7F7F" w:themeColor="text1" w:themeTint="80"/>
          <w:sz w:val="26"/>
          <w:szCs w:val="26"/>
        </w:rPr>
        <w:t>de folio AA 6092202 (AA seis-cero-nueve-dos-dos-cero-dos), de fecha 9 nueve de noviembre del año pasado</w:t>
      </w:r>
      <w:r>
        <w:rPr>
          <w:rFonts w:ascii="Calibri" w:hAnsi="Calibri" w:cs="Calibri"/>
          <w:iCs/>
          <w:color w:val="767171" w:themeColor="background2" w:themeShade="80"/>
          <w:sz w:val="26"/>
          <w:szCs w:val="26"/>
        </w:rPr>
        <w:t xml:space="preserve">. . . . . . . . . . . . . . . . . . . . </w:t>
      </w:r>
    </w:p>
    <w:p w:rsidR="001B7565" w:rsidRDefault="001B7565" w:rsidP="001B7565">
      <w:pPr>
        <w:jc w:val="both"/>
        <w:rPr>
          <w:rFonts w:ascii="Calibri" w:hAnsi="Calibri"/>
          <w:color w:val="767171" w:themeColor="background2" w:themeShade="80"/>
          <w:sz w:val="26"/>
          <w:szCs w:val="26"/>
        </w:rPr>
      </w:pPr>
    </w:p>
    <w:p w:rsidR="001B7565" w:rsidRDefault="001B7565" w:rsidP="001B7565">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N</w:t>
      </w:r>
      <w:r>
        <w:rPr>
          <w:rFonts w:ascii="Calibri" w:hAnsi="Calibri"/>
          <w:b/>
          <w:color w:val="767171" w:themeColor="background2" w:themeShade="80"/>
          <w:sz w:val="26"/>
          <w:szCs w:val="26"/>
        </w:rPr>
        <w:t>o ha lugar</w:t>
      </w:r>
      <w:r>
        <w:rPr>
          <w:rFonts w:ascii="Calibri" w:hAnsi="Calibri"/>
          <w:color w:val="767171" w:themeColor="background2" w:themeShade="80"/>
          <w:sz w:val="26"/>
          <w:szCs w:val="26"/>
        </w:rPr>
        <w:t xml:space="preserve"> a reconocer al actor, derecho alguno a la devolución del importe de la multa que por la cantidad señalada</w:t>
      </w:r>
      <w:r>
        <w:rPr>
          <w:rFonts w:ascii="Calibri" w:hAnsi="Calibri"/>
          <w:i/>
          <w:color w:val="767171" w:themeColor="background2" w:themeShade="80"/>
          <w:sz w:val="26"/>
          <w:szCs w:val="26"/>
        </w:rPr>
        <w:t>,</w:t>
      </w:r>
      <w:r>
        <w:rPr>
          <w:rFonts w:ascii="Calibri" w:hAnsi="Calibri"/>
          <w:color w:val="767171" w:themeColor="background2" w:themeShade="80"/>
          <w:sz w:val="26"/>
          <w:szCs w:val="26"/>
        </w:rPr>
        <w:t xml:space="preserve"> en razón de que en el presente proceso, al dictarse la nulidad para determinado efecto de la calificación e imposición de sanción, si es el caso, procede ordenar a las demandadas</w:t>
      </w:r>
      <w:r>
        <w:rPr>
          <w:rFonts w:ascii="Calibri" w:hAnsi="Calibri" w:cs="Arial"/>
          <w:color w:val="767171" w:themeColor="background2" w:themeShade="80"/>
          <w:sz w:val="26"/>
          <w:szCs w:val="27"/>
        </w:rPr>
        <w:t xml:space="preserve">  a que </w:t>
      </w:r>
      <w:r>
        <w:rPr>
          <w:rFonts w:ascii="Calibri" w:hAnsi="Calibri"/>
          <w:color w:val="767171" w:themeColor="background2" w:themeShade="80"/>
          <w:sz w:val="26"/>
          <w:szCs w:val="27"/>
        </w:rPr>
        <w:t>lleven a cabo el procedimiento, que al efecto tengan establecido, para la calificación de la infracción e imposición de la sanción correspondiente</w:t>
      </w:r>
      <w:r>
        <w:rPr>
          <w:rFonts w:ascii="Calibri" w:hAnsi="Calibri" w:cs="Arial"/>
          <w:color w:val="767171" w:themeColor="background2" w:themeShade="80"/>
          <w:sz w:val="26"/>
          <w:szCs w:val="27"/>
        </w:rPr>
        <w:t xml:space="preserve">; por lo que en todo caso, el reconocimiento de ese derecho se encuentra condicionado a la calificación que respecto de la infracción haga la autoridad correspondiente; procediendo en su momento, a la devolución respectiva o en su caso, a la compensación correspondiente. . . . . . . . . . . . . . . . . . . . . . . . . . . . . . . . . . . . . . . . . . </w:t>
      </w:r>
    </w:p>
    <w:p w:rsidR="001B7565" w:rsidRDefault="001B7565" w:rsidP="001B7565">
      <w:pPr>
        <w:pStyle w:val="Textoindependiente"/>
        <w:ind w:firstLine="708"/>
        <w:rPr>
          <w:rFonts w:ascii="Calibri" w:hAnsi="Calibri"/>
          <w:bCs/>
          <w:color w:val="767171" w:themeColor="background2" w:themeShade="80"/>
          <w:sz w:val="26"/>
          <w:szCs w:val="27"/>
        </w:rPr>
      </w:pPr>
    </w:p>
    <w:p w:rsidR="001B7565" w:rsidRDefault="001B7565" w:rsidP="001B7565">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lastRenderedPageBreak/>
        <w:t xml:space="preserve">Lo anterior resulta congruente con el criterio emitido por la Cuarta Sala del Tribunal de lo Contencioso Administrativo del Estado, contenido en la publicación intitulada </w:t>
      </w:r>
      <w:r>
        <w:rPr>
          <w:rFonts w:ascii="Calibri" w:hAnsi="Calibri" w:cs="Arial"/>
          <w:i/>
          <w:color w:val="767171" w:themeColor="background2" w:themeShade="80"/>
          <w:sz w:val="26"/>
          <w:szCs w:val="27"/>
        </w:rPr>
        <w:t>“Criterios 2000-2008”</w:t>
      </w:r>
      <w:r>
        <w:rPr>
          <w:rFonts w:ascii="Calibri" w:hAnsi="Calibri" w:cs="Arial"/>
          <w:color w:val="767171" w:themeColor="background2" w:themeShade="80"/>
          <w:sz w:val="26"/>
          <w:szCs w:val="27"/>
        </w:rPr>
        <w:t xml:space="preserve">, editado por el propio Tribunal, el que en su página 172 señala: . . . . . . . . . . . . . . . . . . . . . . . . . . . . . . . . . . . . . . . . . . . . </w:t>
      </w:r>
    </w:p>
    <w:p w:rsidR="001B7565" w:rsidRDefault="001B7565" w:rsidP="001B7565">
      <w:pPr>
        <w:jc w:val="both"/>
        <w:rPr>
          <w:rFonts w:ascii="Calibri" w:hAnsi="Calibri" w:cs="Goudy"/>
          <w:b/>
          <w:bCs/>
          <w:color w:val="767171" w:themeColor="background2" w:themeShade="80"/>
          <w:sz w:val="26"/>
          <w:szCs w:val="27"/>
          <w:lang w:val="es-MX"/>
        </w:rPr>
      </w:pPr>
    </w:p>
    <w:p w:rsidR="001B7565" w:rsidRDefault="001B7565" w:rsidP="001B7565">
      <w:pPr>
        <w:ind w:firstLine="708"/>
        <w:jc w:val="both"/>
        <w:rPr>
          <w:rFonts w:ascii="Calibri" w:hAnsi="Calibri"/>
          <w:color w:val="767171" w:themeColor="background2" w:themeShade="80"/>
          <w:sz w:val="26"/>
          <w:szCs w:val="27"/>
        </w:rPr>
      </w:pPr>
      <w:r>
        <w:rPr>
          <w:rFonts w:ascii="Calibri" w:hAnsi="Calibri" w:cs="Goudy"/>
          <w:b/>
          <w:bCs/>
          <w:i/>
          <w:iCs/>
          <w:color w:val="767171" w:themeColor="background2" w:themeShade="80"/>
          <w:sz w:val="26"/>
          <w:szCs w:val="27"/>
          <w:lang w:val="es-MX"/>
        </w:rPr>
        <w:t xml:space="preserve">"PROCEDENCIA DE LAS ACCIONES DE RECONOCIMIENTO DE UN DERECHO Y PAGO DE DAÑOS Y PERJUICIOS. </w:t>
      </w:r>
      <w:r>
        <w:rPr>
          <w:rFonts w:ascii="Calibri" w:hAnsi="Calibri" w:cs="Goudy"/>
          <w:i/>
          <w:iCs/>
          <w:color w:val="767171" w:themeColor="background2" w:themeShade="80"/>
          <w:sz w:val="26"/>
          <w:szCs w:val="27"/>
          <w:lang w:val="es-MX"/>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Pr>
          <w:rFonts w:ascii="Calibri" w:hAnsi="Calibri" w:cs="Goudy"/>
          <w:color w:val="767171" w:themeColor="background2" w:themeShade="80"/>
          <w:sz w:val="22"/>
          <w:szCs w:val="27"/>
          <w:lang w:val="es-MX"/>
        </w:rPr>
        <w:t>(</w:t>
      </w:r>
      <w:proofErr w:type="spellStart"/>
      <w:r>
        <w:rPr>
          <w:rFonts w:ascii="Calibri" w:hAnsi="Calibri" w:cs="Goudy"/>
          <w:color w:val="767171" w:themeColor="background2" w:themeShade="80"/>
          <w:sz w:val="22"/>
          <w:szCs w:val="27"/>
          <w:lang w:val="es-MX"/>
        </w:rPr>
        <w:t>Exp</w:t>
      </w:r>
      <w:proofErr w:type="spellEnd"/>
      <w:r>
        <w:rPr>
          <w:rFonts w:ascii="Calibri" w:hAnsi="Calibri" w:cs="Goudy"/>
          <w:color w:val="767171" w:themeColor="background2" w:themeShade="80"/>
          <w:sz w:val="22"/>
          <w:szCs w:val="27"/>
          <w:lang w:val="es-MX"/>
        </w:rPr>
        <w:t>. 6.04/04. Sentencia de fecha 8 de octubre de 2004. Actor: Claudia María del Refugio Benítez Rodríguez)</w:t>
      </w:r>
      <w:r>
        <w:rPr>
          <w:rFonts w:ascii="Calibri" w:hAnsi="Calibri" w:cs="Goudy"/>
          <w:color w:val="767171" w:themeColor="background2" w:themeShade="80"/>
          <w:sz w:val="26"/>
          <w:szCs w:val="27"/>
          <w:lang w:val="es-MX"/>
        </w:rPr>
        <w:t xml:space="preserve">. . </w:t>
      </w:r>
    </w:p>
    <w:p w:rsidR="001B7565" w:rsidRDefault="001B7565" w:rsidP="001B7565">
      <w:pPr>
        <w:pStyle w:val="Textoindependiente"/>
        <w:rPr>
          <w:rFonts w:ascii="Calibri" w:hAnsi="Calibri"/>
          <w:color w:val="7F7F7F" w:themeColor="text1" w:themeTint="80"/>
          <w:sz w:val="20"/>
          <w:szCs w:val="20"/>
        </w:rPr>
      </w:pPr>
    </w:p>
    <w:p w:rsidR="001B7565" w:rsidRDefault="001B7565" w:rsidP="001B756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Por lo expuesto, y con fundamento además en lo dispuesto en los artículos 249, 287, 298, 299, 300, fracción III; y 302, fracción II, del Código de Procedimiento y Justicia Administrativa para el Estado y los Municipios de Guanajuato, es de resolverse y se: . . . . . . . . . . . . . . . . . . . . . . . . . . . . . . . . . . . . . . . . </w:t>
      </w:r>
    </w:p>
    <w:p w:rsidR="001B7565" w:rsidRDefault="001B7565" w:rsidP="001B7565">
      <w:pPr>
        <w:pStyle w:val="Textoindependiente"/>
        <w:rPr>
          <w:rFonts w:ascii="Calibri" w:hAnsi="Calibri" w:cs="Calibri"/>
          <w:color w:val="7F7F7F" w:themeColor="text1" w:themeTint="80"/>
          <w:sz w:val="20"/>
          <w:szCs w:val="20"/>
        </w:rPr>
      </w:pPr>
    </w:p>
    <w:p w:rsidR="001B7565" w:rsidRDefault="001B7565" w:rsidP="001B7565">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1B7565" w:rsidRDefault="001B7565" w:rsidP="001B7565">
      <w:pPr>
        <w:pStyle w:val="Textoindependiente"/>
        <w:jc w:val="center"/>
        <w:rPr>
          <w:rFonts w:ascii="Calibri" w:hAnsi="Calibri" w:cs="Calibri"/>
          <w:i/>
          <w:iCs/>
          <w:color w:val="7F7F7F" w:themeColor="text1" w:themeTint="80"/>
          <w:sz w:val="20"/>
          <w:szCs w:val="20"/>
        </w:rPr>
      </w:pPr>
    </w:p>
    <w:p w:rsidR="001B7565" w:rsidRDefault="001B7565" w:rsidP="001B756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competente para conocer y resolver del presente proceso </w:t>
      </w:r>
      <w:proofErr w:type="gramStart"/>
      <w:r>
        <w:rPr>
          <w:rFonts w:ascii="Calibri" w:hAnsi="Calibri" w:cs="Calibri"/>
          <w:color w:val="7F7F7F" w:themeColor="text1" w:themeTint="80"/>
          <w:sz w:val="26"/>
          <w:szCs w:val="26"/>
        </w:rPr>
        <w:t>administrativo .</w:t>
      </w:r>
      <w:proofErr w:type="gramEnd"/>
      <w:r>
        <w:rPr>
          <w:rFonts w:ascii="Calibri" w:hAnsi="Calibri" w:cs="Calibri"/>
          <w:color w:val="7F7F7F" w:themeColor="text1" w:themeTint="80"/>
          <w:sz w:val="26"/>
          <w:szCs w:val="26"/>
        </w:rPr>
        <w:t xml:space="preserve"> . . . . . .</w:t>
      </w:r>
    </w:p>
    <w:p w:rsidR="001B7565" w:rsidRDefault="001B7565" w:rsidP="001B7565">
      <w:pPr>
        <w:pStyle w:val="Textoindependiente"/>
        <w:rPr>
          <w:rFonts w:ascii="Calibri" w:hAnsi="Calibri" w:cs="Calibri"/>
          <w:b/>
          <w:bCs/>
          <w:i/>
          <w:iCs/>
          <w:color w:val="7F7F7F" w:themeColor="text1" w:themeTint="80"/>
          <w:sz w:val="20"/>
          <w:szCs w:val="20"/>
        </w:rPr>
      </w:pPr>
    </w:p>
    <w:p w:rsidR="001B7565" w:rsidRDefault="001B7565" w:rsidP="001B7565">
      <w:pPr>
        <w:pStyle w:val="Textoindependiente"/>
        <w:ind w:firstLine="708"/>
        <w:rPr>
          <w:rFonts w:ascii="Calibri" w:hAnsi="Calibri" w:cs="Calibri"/>
          <w:b/>
          <w:bCs/>
          <w:iCs/>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 procedente el proceso administrativo promovido por el ciudadano *****, en contra del acta de infracción impugnada. . . . . . . . . . . . . . . . . . . . . . . . . . . . . . . . . . . . . . . . . . . . . . . . . . . . . . . . . . . .</w:t>
      </w:r>
    </w:p>
    <w:p w:rsidR="001B7565" w:rsidRDefault="001B7565" w:rsidP="001B7565">
      <w:pPr>
        <w:ind w:firstLine="708"/>
        <w:jc w:val="both"/>
        <w:rPr>
          <w:rFonts w:ascii="Calibri" w:hAnsi="Calibri"/>
          <w:b/>
          <w:bCs/>
          <w:i/>
          <w:iCs/>
          <w:color w:val="7F7F7F" w:themeColor="text1" w:themeTint="80"/>
          <w:sz w:val="20"/>
          <w:szCs w:val="20"/>
          <w:lang w:val="es-MX"/>
        </w:rPr>
      </w:pPr>
    </w:p>
    <w:p w:rsidR="001B7565" w:rsidRDefault="001B7565" w:rsidP="001B75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972/2016-JN</w:t>
      </w:r>
    </w:p>
    <w:p w:rsidR="001B7565" w:rsidRDefault="001B7565" w:rsidP="001B7565">
      <w:pPr>
        <w:ind w:firstLine="708"/>
        <w:jc w:val="both"/>
        <w:rPr>
          <w:rFonts w:ascii="Calibri" w:hAnsi="Calibri"/>
          <w:b/>
          <w:bCs/>
          <w:i/>
          <w:iCs/>
          <w:color w:val="7F7F7F" w:themeColor="text1" w:themeTint="80"/>
          <w:sz w:val="26"/>
        </w:rPr>
      </w:pPr>
    </w:p>
    <w:p w:rsidR="001B7565" w:rsidRDefault="001B7565" w:rsidP="001B7565">
      <w:pPr>
        <w:ind w:firstLine="708"/>
        <w:jc w:val="both"/>
        <w:rPr>
          <w:rFonts w:ascii="Calibri" w:hAnsi="Calibri"/>
          <w:color w:val="767171" w:themeColor="background2" w:themeShade="80"/>
          <w:sz w:val="26"/>
          <w:szCs w:val="26"/>
        </w:rPr>
      </w:pPr>
      <w:r>
        <w:rPr>
          <w:rFonts w:ascii="Calibri" w:hAnsi="Calibri"/>
          <w:b/>
          <w:bCs/>
          <w:i/>
          <w:iCs/>
          <w:color w:val="7F7F7F" w:themeColor="text1" w:themeTint="80"/>
          <w:sz w:val="26"/>
        </w:rPr>
        <w:t>TERCERO</w:t>
      </w:r>
      <w:r>
        <w:rPr>
          <w:rFonts w:ascii="Calibri" w:hAnsi="Calibri"/>
          <w:color w:val="7F7F7F" w:themeColor="text1" w:themeTint="80"/>
          <w:sz w:val="26"/>
        </w:rPr>
        <w:t xml:space="preserve">.- </w:t>
      </w:r>
      <w:r>
        <w:rPr>
          <w:rFonts w:ascii="Calibri" w:hAnsi="Calibri" w:cs="Calibri"/>
          <w:color w:val="7F7F7F" w:themeColor="text1" w:themeTint="80"/>
          <w:sz w:val="26"/>
          <w:szCs w:val="26"/>
        </w:rPr>
        <w:t xml:space="preserve">Se </w:t>
      </w:r>
      <w:r>
        <w:rPr>
          <w:rFonts w:ascii="Calibri" w:hAnsi="Calibri" w:cs="Calibri"/>
          <w:b/>
          <w:color w:val="7F7F7F" w:themeColor="text1" w:themeTint="80"/>
          <w:sz w:val="26"/>
          <w:szCs w:val="26"/>
        </w:rPr>
        <w:t>decreta</w:t>
      </w:r>
      <w:r>
        <w:rPr>
          <w:rFonts w:ascii="Calibri" w:hAnsi="Calibri" w:cs="Calibri"/>
          <w:color w:val="7F7F7F" w:themeColor="text1" w:themeTint="80"/>
          <w:sz w:val="26"/>
          <w:szCs w:val="26"/>
        </w:rPr>
        <w:t xml:space="preserve"> la </w:t>
      </w:r>
      <w:r>
        <w:rPr>
          <w:rFonts w:ascii="Calibri" w:hAnsi="Calibri" w:cs="Calibri"/>
          <w:b/>
          <w:color w:val="7F7F7F" w:themeColor="text1" w:themeTint="80"/>
          <w:sz w:val="26"/>
          <w:szCs w:val="26"/>
        </w:rPr>
        <w:t xml:space="preserve">nulidad de </w:t>
      </w:r>
      <w:r>
        <w:rPr>
          <w:rFonts w:ascii="Calibri" w:hAnsi="Calibri" w:cs="Calibri"/>
          <w:color w:val="767171" w:themeColor="background2" w:themeShade="80"/>
          <w:sz w:val="26"/>
          <w:szCs w:val="26"/>
        </w:rPr>
        <w:t xml:space="preserve">la calificación de la infracción e imposición de una multa, contenida en el recibo </w:t>
      </w:r>
      <w:r>
        <w:rPr>
          <w:rFonts w:ascii="Calibri" w:hAnsi="Calibri" w:cs="Calibri"/>
          <w:color w:val="7F7F7F" w:themeColor="text1" w:themeTint="80"/>
          <w:sz w:val="26"/>
          <w:szCs w:val="26"/>
        </w:rPr>
        <w:t xml:space="preserve">oficial de pago </w:t>
      </w:r>
      <w:r>
        <w:rPr>
          <w:rFonts w:ascii="Calibri" w:hAnsi="Calibri" w:cs="Calibri"/>
          <w:color w:val="767171" w:themeColor="background2" w:themeShade="80"/>
          <w:sz w:val="26"/>
          <w:szCs w:val="26"/>
        </w:rPr>
        <w:t xml:space="preserve">con número de folio AA 6092202, </w:t>
      </w:r>
      <w:r>
        <w:rPr>
          <w:rFonts w:ascii="Calibri" w:hAnsi="Calibri" w:cs="Calibri"/>
          <w:b/>
          <w:color w:val="767171" w:themeColor="background2" w:themeShade="80"/>
          <w:sz w:val="26"/>
          <w:szCs w:val="26"/>
        </w:rPr>
        <w:t xml:space="preserve">para el determinado efecto </w:t>
      </w:r>
      <w:r>
        <w:rPr>
          <w:rFonts w:ascii="Calibri" w:hAnsi="Calibri" w:cs="Calibri"/>
          <w:color w:val="767171" w:themeColor="background2" w:themeShade="80"/>
          <w:sz w:val="26"/>
          <w:szCs w:val="26"/>
        </w:rPr>
        <w:t xml:space="preserve">de que la Tesorería Municipal, </w:t>
      </w:r>
      <w:r>
        <w:rPr>
          <w:rFonts w:ascii="Calibri" w:hAnsi="Calibri" w:cs="Calibri"/>
          <w:bCs/>
          <w:iCs/>
          <w:color w:val="767171" w:themeColor="background2" w:themeShade="80"/>
          <w:sz w:val="26"/>
          <w:szCs w:val="26"/>
        </w:rPr>
        <w:t>dentro de los</w:t>
      </w:r>
      <w:r>
        <w:rPr>
          <w:rFonts w:ascii="Calibri" w:hAnsi="Calibri" w:cs="Calibri"/>
          <w:b/>
          <w:bCs/>
          <w:iCs/>
          <w:color w:val="767171" w:themeColor="background2" w:themeShade="80"/>
          <w:sz w:val="26"/>
          <w:szCs w:val="26"/>
        </w:rPr>
        <w:t xml:space="preserve"> 15 quince días hábiles </w:t>
      </w:r>
      <w:r>
        <w:rPr>
          <w:rFonts w:ascii="Calibri" w:hAnsi="Calibri" w:cs="Calibri"/>
          <w:color w:val="767171" w:themeColor="background2" w:themeShade="80"/>
          <w:sz w:val="26"/>
          <w:szCs w:val="26"/>
        </w:rPr>
        <w:t xml:space="preserve">siguientes a la fecha en que cause ejecutoria la presente sentencia, </w:t>
      </w:r>
      <w:r>
        <w:rPr>
          <w:rFonts w:ascii="Calibri" w:hAnsi="Calibri"/>
          <w:color w:val="767171" w:themeColor="background2" w:themeShade="80"/>
          <w:sz w:val="26"/>
          <w:szCs w:val="26"/>
        </w:rPr>
        <w:t>lleve a cabo el procedimiento, que al efecto tenga establecido</w:t>
      </w:r>
      <w:r>
        <w:rPr>
          <w:rFonts w:ascii="Calibri" w:hAnsi="Calibri" w:cs="Calibri"/>
          <w:color w:val="767171" w:themeColor="background2" w:themeShade="80"/>
          <w:sz w:val="26"/>
          <w:szCs w:val="26"/>
        </w:rPr>
        <w:t xml:space="preserve">, </w:t>
      </w:r>
      <w:r>
        <w:rPr>
          <w:rFonts w:ascii="Calibri" w:hAnsi="Calibri"/>
          <w:color w:val="767171" w:themeColor="background2" w:themeShade="80"/>
          <w:sz w:val="26"/>
          <w:szCs w:val="26"/>
        </w:rPr>
        <w:t xml:space="preserve">para la calificación de la infracción e imposición de la sanción correspondiente, en donde se respete la garantía de audiencia del ciudadano ***** . . . . . . . . . . . . . . . . . . . . . . . . . . . . . . . . . . . . . . . . . . . . . . . . </w:t>
      </w:r>
    </w:p>
    <w:p w:rsidR="001B7565" w:rsidRDefault="001B7565" w:rsidP="001B7565">
      <w:pPr>
        <w:ind w:firstLine="708"/>
        <w:jc w:val="both"/>
        <w:rPr>
          <w:rFonts w:ascii="Calibri" w:hAnsi="Calibri" w:cs="Calibri"/>
          <w:b/>
          <w:bCs/>
          <w:i/>
          <w:iCs/>
          <w:color w:val="7F7F7F" w:themeColor="text1" w:themeTint="80"/>
          <w:sz w:val="26"/>
          <w:szCs w:val="26"/>
        </w:rPr>
      </w:pPr>
    </w:p>
    <w:p w:rsidR="001B7565" w:rsidRDefault="001B7565" w:rsidP="001B7565">
      <w:pPr>
        <w:pStyle w:val="Textoindependiente"/>
        <w:ind w:firstLine="708"/>
        <w:rPr>
          <w:rFonts w:ascii="Calibri" w:hAnsi="Calibri"/>
          <w:color w:val="7F7F7F" w:themeColor="text1" w:themeTint="80"/>
          <w:sz w:val="26"/>
          <w:szCs w:val="26"/>
        </w:rPr>
      </w:pPr>
      <w:r>
        <w:rPr>
          <w:rFonts w:ascii="Calibri" w:hAnsi="Calibri" w:cs="Calibri"/>
          <w:b/>
          <w:bCs/>
          <w:i/>
          <w:iCs/>
          <w:color w:val="7F7F7F" w:themeColor="text1" w:themeTint="80"/>
          <w:sz w:val="26"/>
          <w:szCs w:val="26"/>
        </w:rPr>
        <w:lastRenderedPageBreak/>
        <w:t xml:space="preserve">CUARTO.- </w:t>
      </w:r>
      <w:r>
        <w:rPr>
          <w:rFonts w:ascii="Calibri" w:hAnsi="Calibri" w:cs="Calibri"/>
          <w:b/>
          <w:color w:val="7F7F7F" w:themeColor="text1" w:themeTint="80"/>
          <w:sz w:val="26"/>
          <w:szCs w:val="26"/>
        </w:rPr>
        <w:t>No ha lugar</w:t>
      </w:r>
      <w:r>
        <w:rPr>
          <w:rFonts w:ascii="Calibri" w:hAnsi="Calibri" w:cs="Calibri"/>
          <w:color w:val="7F7F7F" w:themeColor="text1" w:themeTint="80"/>
          <w:sz w:val="26"/>
          <w:szCs w:val="26"/>
        </w:rPr>
        <w:t xml:space="preserve"> a la condena a devolución solicitada, de acuerdo a lo expresado en el Considerando Octavo de esta misma resolución. . . . . . . . . . . . . </w:t>
      </w:r>
    </w:p>
    <w:p w:rsidR="001B7565" w:rsidRDefault="001B7565" w:rsidP="001B7565">
      <w:pPr>
        <w:pStyle w:val="Textoindependiente"/>
        <w:rPr>
          <w:rFonts w:ascii="Calibri" w:hAnsi="Calibri" w:cs="Calibri"/>
          <w:color w:val="7F7F7F" w:themeColor="text1" w:themeTint="80"/>
          <w:sz w:val="26"/>
          <w:szCs w:val="26"/>
        </w:rPr>
      </w:pPr>
    </w:p>
    <w:p w:rsidR="001B7565" w:rsidRDefault="001B7565" w:rsidP="001B756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1B7565" w:rsidRDefault="001B7565" w:rsidP="001B7565">
      <w:pPr>
        <w:jc w:val="both"/>
        <w:rPr>
          <w:rFonts w:ascii="Calibri" w:hAnsi="Calibri" w:cs="Calibri"/>
          <w:color w:val="7F7F7F" w:themeColor="text1" w:themeTint="80"/>
          <w:sz w:val="20"/>
          <w:szCs w:val="20"/>
          <w:lang w:val="es-MX"/>
        </w:rPr>
      </w:pPr>
    </w:p>
    <w:p w:rsidR="001B7565" w:rsidRDefault="001B7565" w:rsidP="001B7565">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p>
    <w:p w:rsidR="001B7565" w:rsidRDefault="001B7565" w:rsidP="001B7565">
      <w:pPr>
        <w:pStyle w:val="Textoindependiente"/>
        <w:rPr>
          <w:rFonts w:ascii="Calibri" w:hAnsi="Calibri" w:cs="Calibri"/>
          <w:color w:val="7F7F7F" w:themeColor="text1" w:themeTint="80"/>
          <w:sz w:val="20"/>
          <w:szCs w:val="20"/>
        </w:rPr>
      </w:pPr>
    </w:p>
    <w:p w:rsidR="001B7565" w:rsidRDefault="001B7565" w:rsidP="001B7565">
      <w:pPr>
        <w:pStyle w:val="Textoindependiente"/>
        <w:ind w:firstLine="708"/>
        <w:rPr>
          <w:color w:val="7F7F7F" w:themeColor="text1" w:themeTint="80"/>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xml:space="preserve">, quien da fe. . . . . . . . . . . . . . . . . . . . . . . . . . . . . . . . . . . . . . . . . </w:t>
      </w:r>
      <w:r>
        <w:rPr>
          <w:color w:val="7F7F7F" w:themeColor="text1" w:themeTint="80"/>
        </w:rPr>
        <w:t>.</w:t>
      </w:r>
    </w:p>
    <w:p w:rsidR="004F58FC" w:rsidRPr="001B7565" w:rsidRDefault="004F58FC">
      <w:pPr>
        <w:rPr>
          <w:lang w:val="es-MX"/>
        </w:rPr>
      </w:pPr>
      <w:bookmarkStart w:id="0" w:name="_GoBack"/>
      <w:bookmarkEnd w:id="0"/>
    </w:p>
    <w:sectPr w:rsidR="004F58FC" w:rsidRPr="001B75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565"/>
    <w:rsid w:val="001B7565"/>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52EE089-41B3-4AFC-9E70-85F0C2D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56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B756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756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B7565"/>
    <w:pPr>
      <w:jc w:val="both"/>
    </w:pPr>
    <w:rPr>
      <w:lang w:val="es-MX"/>
    </w:rPr>
  </w:style>
  <w:style w:type="character" w:customStyle="1" w:styleId="TextoindependienteCar">
    <w:name w:val="Texto independiente Car"/>
    <w:basedOn w:val="Fuentedeprrafopredeter"/>
    <w:link w:val="Textoindependiente"/>
    <w:rsid w:val="001B7565"/>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3509</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2017-08-31T15:36:00Z</dcterms:created>
  <dcterms:modified xsi:type="dcterms:W3CDTF">2017-08-31T15:36:00Z</dcterms:modified>
</cp:coreProperties>
</file>